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65"/>
        <w:tblW w:w="5423" w:type="pct"/>
        <w:tblLayout w:type="fixed"/>
        <w:tblCellMar>
          <w:left w:w="0" w:type="dxa"/>
          <w:right w:w="0" w:type="dxa"/>
        </w:tblCellMar>
        <w:tblLook w:val="04A0"/>
      </w:tblPr>
      <w:tblGrid>
        <w:gridCol w:w="329"/>
        <w:gridCol w:w="417"/>
        <w:gridCol w:w="2265"/>
        <w:gridCol w:w="422"/>
        <w:gridCol w:w="1277"/>
        <w:gridCol w:w="830"/>
        <w:gridCol w:w="566"/>
        <w:gridCol w:w="152"/>
        <w:gridCol w:w="861"/>
        <w:gridCol w:w="568"/>
        <w:gridCol w:w="851"/>
        <w:gridCol w:w="152"/>
        <w:gridCol w:w="568"/>
        <w:gridCol w:w="990"/>
      </w:tblGrid>
      <w:tr w:rsidR="00073389" w:rsidTr="00CD33F7">
        <w:tc>
          <w:tcPr>
            <w:tcW w:w="16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jc w:val="center"/>
              <w:rPr>
                <w:rFonts w:eastAsiaTheme="minorEastAsia"/>
              </w:rPr>
            </w:pPr>
            <w:bookmarkStart w:id="0" w:name="3080135"/>
            <w:r w:rsidRPr="006E54DA">
              <w:rPr>
                <w:rFonts w:eastAsiaTheme="minorEastAsia"/>
                <w:sz w:val="22"/>
                <w:szCs w:val="22"/>
              </w:rPr>
              <w:t>1.</w:t>
            </w:r>
          </w:p>
        </w:tc>
        <w:tc>
          <w:tcPr>
            <w:tcW w:w="4839" w:type="pct"/>
            <w:gridSpan w:val="1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jc w:val="center"/>
              <w:rPr>
                <w:rFonts w:eastAsiaTheme="minorEastAsia"/>
              </w:rPr>
            </w:pPr>
            <w:r w:rsidRPr="000C2C30">
              <w:rPr>
                <w:rFonts w:eastAsiaTheme="minorEastAsia"/>
                <w:b/>
                <w:bCs/>
                <w:sz w:val="22"/>
                <w:szCs w:val="22"/>
              </w:rPr>
              <w:t>ЭМИТЕНТНИНГ НОМИ</w:t>
            </w:r>
          </w:p>
        </w:tc>
      </w:tr>
      <w:tr w:rsidR="00983C71" w:rsidRPr="00EE4534" w:rsidTr="00FF7ACB">
        <w:tc>
          <w:tcPr>
            <w:tcW w:w="161" w:type="pct"/>
            <w:vMerge/>
            <w:tcBorders>
              <w:top w:val="single" w:sz="8" w:space="0" w:color="auto"/>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ind w:firstLine="44"/>
              <w:rPr>
                <w:rFonts w:eastAsiaTheme="minorEastAsia"/>
                <w:lang w:val="uz-Cyrl-UZ"/>
              </w:rPr>
            </w:pPr>
            <w:r w:rsidRPr="000C2C30">
              <w:rPr>
                <w:rFonts w:eastAsiaTheme="minorEastAsia"/>
                <w:sz w:val="22"/>
                <w:szCs w:val="22"/>
              </w:rPr>
              <w:t>Тўлиқ:</w:t>
            </w:r>
            <w:r w:rsidR="003E32FB" w:rsidRPr="000C2C30">
              <w:rPr>
                <w:rFonts w:eastAsiaTheme="minorEastAsia"/>
                <w:sz w:val="22"/>
                <w:szCs w:val="22"/>
              </w:rPr>
              <w:t xml:space="preserve"> </w:t>
            </w:r>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EE4534" w:rsidRDefault="00EE4534" w:rsidP="00EE4534">
            <w:pPr>
              <w:rPr>
                <w:lang w:val="en-US"/>
              </w:rPr>
            </w:pPr>
            <w:r>
              <w:rPr>
                <w:color w:val="000000"/>
                <w:sz w:val="22"/>
                <w:szCs w:val="22"/>
                <w:lang w:val="uz-Cyrl-UZ"/>
              </w:rPr>
              <w:t>“</w:t>
            </w:r>
            <w:r w:rsidRPr="00EE4534">
              <w:rPr>
                <w:color w:val="000000"/>
                <w:sz w:val="22"/>
                <w:szCs w:val="22"/>
                <w:lang w:val="uz-Cyrl-UZ"/>
              </w:rPr>
              <w:t>Madad Invest Bank</w:t>
            </w:r>
            <w:r>
              <w:rPr>
                <w:color w:val="000000"/>
                <w:sz w:val="22"/>
                <w:szCs w:val="22"/>
                <w:lang w:val="uz-Cyrl-UZ"/>
              </w:rPr>
              <w:t>”</w:t>
            </w:r>
            <w:r w:rsidRPr="00EE4534">
              <w:rPr>
                <w:color w:val="000000"/>
                <w:sz w:val="22"/>
                <w:szCs w:val="22"/>
                <w:lang w:val="uz-Cyrl-UZ"/>
              </w:rPr>
              <w:t xml:space="preserve"> aksiyadorlik tijorat banki</w:t>
            </w:r>
          </w:p>
        </w:tc>
      </w:tr>
      <w:tr w:rsidR="00983C71" w:rsidTr="00FF7ACB">
        <w:tc>
          <w:tcPr>
            <w:tcW w:w="161" w:type="pct"/>
            <w:vMerge/>
            <w:tcBorders>
              <w:top w:val="single" w:sz="8" w:space="0" w:color="auto"/>
              <w:left w:val="single" w:sz="8" w:space="0" w:color="auto"/>
              <w:bottom w:val="single" w:sz="8" w:space="0" w:color="auto"/>
              <w:right w:val="single" w:sz="8" w:space="0" w:color="auto"/>
            </w:tcBorders>
            <w:vAlign w:val="center"/>
            <w:hideMark/>
          </w:tcPr>
          <w:p w:rsidR="00153FA9" w:rsidRPr="00EE4534" w:rsidRDefault="00153FA9" w:rsidP="00C45E51">
            <w:pPr>
              <w:rPr>
                <w:rFonts w:eastAsiaTheme="minorEastAsia"/>
                <w:lang w:val="en-US"/>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ind w:firstLine="45"/>
              <w:rPr>
                <w:rFonts w:eastAsiaTheme="minorEastAsia"/>
              </w:rPr>
            </w:pPr>
            <w:r w:rsidRPr="000C2C30">
              <w:rPr>
                <w:rFonts w:eastAsiaTheme="minorEastAsia"/>
                <w:sz w:val="22"/>
                <w:szCs w:val="22"/>
              </w:rPr>
              <w:t>Қисқартирилган:</w:t>
            </w:r>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EE4534">
            <w:pPr>
              <w:rPr>
                <w:lang w:val="uz-Cyrl-UZ"/>
              </w:rPr>
            </w:pPr>
            <w:r>
              <w:rPr>
                <w:rFonts w:eastAsiaTheme="minorEastAsia"/>
                <w:sz w:val="22"/>
                <w:szCs w:val="22"/>
                <w:lang w:val="uz-Cyrl-UZ"/>
              </w:rPr>
              <w:t>“</w:t>
            </w:r>
            <w:r w:rsidRPr="00EE4534">
              <w:rPr>
                <w:rFonts w:eastAsiaTheme="minorEastAsia"/>
                <w:sz w:val="22"/>
                <w:szCs w:val="22"/>
                <w:lang w:val="uz-Cyrl-UZ"/>
              </w:rPr>
              <w:t>Madad Invest Bank</w:t>
            </w:r>
            <w:r>
              <w:rPr>
                <w:rFonts w:eastAsiaTheme="minorEastAsia"/>
                <w:sz w:val="22"/>
                <w:szCs w:val="22"/>
                <w:lang w:val="uz-Cyrl-UZ"/>
              </w:rPr>
              <w:t>”</w:t>
            </w:r>
            <w:r w:rsidRPr="00EE4534">
              <w:rPr>
                <w:rFonts w:eastAsiaTheme="minorEastAsia"/>
                <w:sz w:val="22"/>
                <w:szCs w:val="22"/>
                <w:lang w:val="uz-Cyrl-UZ"/>
              </w:rPr>
              <w:t xml:space="preserve"> ATB</w:t>
            </w:r>
          </w:p>
        </w:tc>
      </w:tr>
      <w:tr w:rsidR="00983C71" w:rsidTr="00FF7ACB">
        <w:tc>
          <w:tcPr>
            <w:tcW w:w="161" w:type="pct"/>
            <w:vMerge/>
            <w:tcBorders>
              <w:top w:val="single" w:sz="8" w:space="0" w:color="auto"/>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ind w:firstLine="45"/>
              <w:rPr>
                <w:rFonts w:eastAsiaTheme="minorEastAsia"/>
              </w:rPr>
            </w:pPr>
            <w:r w:rsidRPr="000C2C30">
              <w:rPr>
                <w:rFonts w:eastAsiaTheme="minorEastAsia"/>
                <w:sz w:val="22"/>
                <w:szCs w:val="22"/>
              </w:rPr>
              <w:t xml:space="preserve">Биржа </w:t>
            </w:r>
            <w:proofErr w:type="spellStart"/>
            <w:r w:rsidRPr="000C2C30">
              <w:rPr>
                <w:rFonts w:eastAsiaTheme="minorEastAsia"/>
                <w:sz w:val="22"/>
                <w:szCs w:val="22"/>
              </w:rPr>
              <w:t>тикерининг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bookmarkEnd w:id="0"/>
            <w:r w:rsidR="00D529AD" w:rsidRPr="000C2C30">
              <w:rPr>
                <w:rFonts w:eastAsiaTheme="minorEastAsia"/>
                <w:sz w:val="22"/>
                <w:szCs w:val="22"/>
              </w:rPr>
              <w:fldChar w:fldCharType="begin"/>
            </w:r>
            <w:r w:rsidRPr="000C2C30">
              <w:rPr>
                <w:rFonts w:eastAsiaTheme="minorEastAsia"/>
                <w:sz w:val="22"/>
                <w:szCs w:val="22"/>
              </w:rPr>
              <w:instrText xml:space="preserve"> HYPERLINK "/pages/getpage.aspx?lact_id=2038449" \l "3080137" </w:instrText>
            </w:r>
            <w:r w:rsidR="00D529AD" w:rsidRPr="000C2C30">
              <w:rPr>
                <w:rFonts w:eastAsiaTheme="minorEastAsia"/>
                <w:sz w:val="22"/>
                <w:szCs w:val="22"/>
              </w:rPr>
              <w:fldChar w:fldCharType="separate"/>
            </w:r>
            <w:r w:rsidRPr="000C2C30">
              <w:rPr>
                <w:rStyle w:val="a3"/>
                <w:rFonts w:eastAsiaTheme="minorEastAsia"/>
                <w:sz w:val="22"/>
                <w:szCs w:val="22"/>
              </w:rPr>
              <w:t>*</w:t>
            </w:r>
            <w:r w:rsidR="00D529AD" w:rsidRPr="000C2C30">
              <w:rPr>
                <w:rFonts w:eastAsiaTheme="minorEastAsia"/>
                <w:sz w:val="22"/>
                <w:szCs w:val="22"/>
              </w:rPr>
              <w:fldChar w:fldCharType="end"/>
            </w:r>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C45E51">
            <w:pPr>
              <w:rPr>
                <w:lang w:val="uz-Cyrl-UZ"/>
              </w:rPr>
            </w:pPr>
            <w:r w:rsidRPr="00EE4534">
              <w:rPr>
                <w:sz w:val="22"/>
                <w:szCs w:val="22"/>
                <w:lang w:val="uz-Cyrl-UZ"/>
              </w:rPr>
              <w:t>MIBK</w:t>
            </w:r>
          </w:p>
        </w:tc>
      </w:tr>
      <w:tr w:rsidR="00073389" w:rsidTr="00CD33F7">
        <w:tc>
          <w:tcPr>
            <w:tcW w:w="16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jc w:val="center"/>
              <w:rPr>
                <w:rFonts w:eastAsiaTheme="minorEastAsia"/>
              </w:rPr>
            </w:pPr>
            <w:r w:rsidRPr="006E54DA">
              <w:rPr>
                <w:rFonts w:eastAsiaTheme="minorEastAsia"/>
                <w:sz w:val="22"/>
                <w:szCs w:val="22"/>
              </w:rPr>
              <w:t>2.</w:t>
            </w:r>
          </w:p>
        </w:tc>
        <w:tc>
          <w:tcPr>
            <w:tcW w:w="4839"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jc w:val="center"/>
              <w:rPr>
                <w:rFonts w:eastAsiaTheme="minorEastAsia"/>
              </w:rPr>
            </w:pPr>
            <w:r w:rsidRPr="000C2C30">
              <w:rPr>
                <w:rFonts w:eastAsiaTheme="minorEastAsia"/>
                <w:b/>
                <w:bCs/>
                <w:sz w:val="22"/>
                <w:szCs w:val="22"/>
              </w:rPr>
              <w:t>АЛОҚА МАЪЛУМОТЛАРИ</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Pr="006E54DA"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53FA9" w:rsidP="00C45E51">
            <w:pPr>
              <w:pStyle w:val="a4"/>
              <w:spacing w:before="0" w:beforeAutospacing="0" w:after="0" w:afterAutospacing="0"/>
              <w:ind w:firstLine="45"/>
              <w:rPr>
                <w:rFonts w:eastAsiaTheme="minorEastAsia"/>
              </w:rPr>
            </w:pPr>
            <w:proofErr w:type="spellStart"/>
            <w:r w:rsidRPr="000C2C30">
              <w:rPr>
                <w:rFonts w:eastAsiaTheme="minorEastAsia"/>
                <w:sz w:val="22"/>
                <w:szCs w:val="22"/>
              </w:rPr>
              <w:t>Жойлашган</w:t>
            </w:r>
            <w:proofErr w:type="spellEnd"/>
            <w:r w:rsidRPr="000C2C30">
              <w:rPr>
                <w:rFonts w:eastAsiaTheme="minorEastAsia"/>
                <w:sz w:val="22"/>
                <w:szCs w:val="22"/>
              </w:rPr>
              <w:t xml:space="preserve"> </w:t>
            </w:r>
            <w:proofErr w:type="spellStart"/>
            <w:r w:rsidRPr="000C2C30">
              <w:rPr>
                <w:rFonts w:eastAsiaTheme="minorEastAsia"/>
                <w:sz w:val="22"/>
                <w:szCs w:val="22"/>
              </w:rPr>
              <w:t>ери</w:t>
            </w:r>
            <w:proofErr w:type="spellEnd"/>
            <w:r w:rsidRPr="000C2C30">
              <w:rPr>
                <w:rFonts w:eastAsiaTheme="minorEastAsia"/>
                <w:sz w:val="22"/>
                <w:szCs w:val="22"/>
              </w:rPr>
              <w:t>:</w:t>
            </w:r>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185827" w:rsidRDefault="00EE4534" w:rsidP="00EE4534">
            <w:r w:rsidRPr="00EE4534">
              <w:rPr>
                <w:sz w:val="22"/>
                <w:szCs w:val="22"/>
              </w:rPr>
              <w:t>1501</w:t>
            </w:r>
            <w:r>
              <w:rPr>
                <w:sz w:val="22"/>
                <w:szCs w:val="22"/>
                <w:lang w:val="uz-Cyrl-UZ"/>
              </w:rPr>
              <w:t>00</w:t>
            </w:r>
            <w:r w:rsidRPr="00EE4534">
              <w:rPr>
                <w:sz w:val="22"/>
                <w:szCs w:val="22"/>
              </w:rPr>
              <w:t xml:space="preserve">, </w:t>
            </w:r>
            <w:proofErr w:type="spellStart"/>
            <w:r w:rsidRPr="00EE4534">
              <w:rPr>
                <w:sz w:val="22"/>
                <w:szCs w:val="22"/>
              </w:rPr>
              <w:t>Ўзбекистон</w:t>
            </w:r>
            <w:proofErr w:type="spellEnd"/>
            <w:r w:rsidRPr="00EE4534">
              <w:rPr>
                <w:sz w:val="22"/>
                <w:szCs w:val="22"/>
              </w:rPr>
              <w:t xml:space="preserve"> </w:t>
            </w:r>
            <w:proofErr w:type="spellStart"/>
            <w:r w:rsidRPr="00EE4534">
              <w:rPr>
                <w:sz w:val="22"/>
                <w:szCs w:val="22"/>
              </w:rPr>
              <w:t>Республикаси</w:t>
            </w:r>
            <w:proofErr w:type="spellEnd"/>
            <w:r w:rsidRPr="00EE4534">
              <w:rPr>
                <w:sz w:val="22"/>
                <w:szCs w:val="22"/>
              </w:rPr>
              <w:t xml:space="preserve">,  Фарғона </w:t>
            </w:r>
            <w:proofErr w:type="spellStart"/>
            <w:r w:rsidRPr="00EE4534">
              <w:rPr>
                <w:sz w:val="22"/>
                <w:szCs w:val="22"/>
              </w:rPr>
              <w:t>вилояти</w:t>
            </w:r>
            <w:proofErr w:type="spellEnd"/>
            <w:r w:rsidRPr="00EE4534">
              <w:rPr>
                <w:sz w:val="22"/>
                <w:szCs w:val="22"/>
              </w:rPr>
              <w:t xml:space="preserve">, Фарғона шаҳри, Мустақиллик </w:t>
            </w:r>
            <w:proofErr w:type="spellStart"/>
            <w:r w:rsidRPr="00EE4534">
              <w:rPr>
                <w:sz w:val="22"/>
                <w:szCs w:val="22"/>
              </w:rPr>
              <w:t>кўчаси</w:t>
            </w:r>
            <w:proofErr w:type="spellEnd"/>
            <w:r w:rsidRPr="00EE4534">
              <w:rPr>
                <w:sz w:val="22"/>
                <w:szCs w:val="22"/>
              </w:rPr>
              <w:t>, 312-уй</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Pr="006E54DA"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53FA9" w:rsidP="00C45E51">
            <w:pPr>
              <w:pStyle w:val="a4"/>
              <w:spacing w:before="0" w:beforeAutospacing="0" w:after="0" w:afterAutospacing="0"/>
              <w:ind w:firstLine="45"/>
              <w:rPr>
                <w:rFonts w:eastAsiaTheme="minorEastAsia"/>
              </w:rPr>
            </w:pPr>
            <w:r w:rsidRPr="000C2C30">
              <w:rPr>
                <w:rFonts w:eastAsiaTheme="minorEastAsia"/>
                <w:sz w:val="22"/>
                <w:szCs w:val="22"/>
              </w:rPr>
              <w:t xml:space="preserve">Почта </w:t>
            </w:r>
            <w:proofErr w:type="spellStart"/>
            <w:r w:rsidRPr="000C2C30">
              <w:rPr>
                <w:rFonts w:eastAsiaTheme="minorEastAsia"/>
                <w:sz w:val="22"/>
                <w:szCs w:val="22"/>
              </w:rPr>
              <w:t>манзили</w:t>
            </w:r>
            <w:proofErr w:type="spellEnd"/>
            <w:r w:rsidRPr="000C2C30">
              <w:rPr>
                <w:rFonts w:eastAsiaTheme="minorEastAsia"/>
                <w:sz w:val="22"/>
                <w:szCs w:val="22"/>
              </w:rPr>
              <w:t>:</w:t>
            </w:r>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35612A" w:rsidRDefault="00EE4534" w:rsidP="00EE4534">
            <w:r w:rsidRPr="00EE4534">
              <w:rPr>
                <w:sz w:val="22"/>
                <w:szCs w:val="22"/>
              </w:rPr>
              <w:t>1501</w:t>
            </w:r>
            <w:r>
              <w:rPr>
                <w:sz w:val="22"/>
                <w:szCs w:val="22"/>
                <w:lang w:val="uz-Cyrl-UZ"/>
              </w:rPr>
              <w:t>00</w:t>
            </w:r>
            <w:r w:rsidRPr="00EE4534">
              <w:rPr>
                <w:sz w:val="22"/>
                <w:szCs w:val="22"/>
              </w:rPr>
              <w:t xml:space="preserve">, </w:t>
            </w:r>
            <w:proofErr w:type="spellStart"/>
            <w:r w:rsidRPr="00EE4534">
              <w:rPr>
                <w:sz w:val="22"/>
                <w:szCs w:val="22"/>
              </w:rPr>
              <w:t>Ўзбекистон</w:t>
            </w:r>
            <w:proofErr w:type="spellEnd"/>
            <w:r w:rsidRPr="00EE4534">
              <w:rPr>
                <w:sz w:val="22"/>
                <w:szCs w:val="22"/>
              </w:rPr>
              <w:t xml:space="preserve"> </w:t>
            </w:r>
            <w:proofErr w:type="spellStart"/>
            <w:r w:rsidRPr="00EE4534">
              <w:rPr>
                <w:sz w:val="22"/>
                <w:szCs w:val="22"/>
              </w:rPr>
              <w:t>Республикаси</w:t>
            </w:r>
            <w:proofErr w:type="spellEnd"/>
            <w:r w:rsidRPr="00EE4534">
              <w:rPr>
                <w:sz w:val="22"/>
                <w:szCs w:val="22"/>
              </w:rPr>
              <w:t xml:space="preserve">,  Фарғона </w:t>
            </w:r>
            <w:proofErr w:type="spellStart"/>
            <w:r w:rsidRPr="00EE4534">
              <w:rPr>
                <w:sz w:val="22"/>
                <w:szCs w:val="22"/>
              </w:rPr>
              <w:t>вилояти</w:t>
            </w:r>
            <w:proofErr w:type="spellEnd"/>
            <w:r w:rsidRPr="00EE4534">
              <w:rPr>
                <w:sz w:val="22"/>
                <w:szCs w:val="22"/>
              </w:rPr>
              <w:t xml:space="preserve">, Фарғона шаҳри, Мустақиллик </w:t>
            </w:r>
            <w:proofErr w:type="spellStart"/>
            <w:r w:rsidRPr="00EE4534">
              <w:rPr>
                <w:sz w:val="22"/>
                <w:szCs w:val="22"/>
              </w:rPr>
              <w:t>кўчаси</w:t>
            </w:r>
            <w:proofErr w:type="spellEnd"/>
            <w:r w:rsidRPr="00EE4534">
              <w:rPr>
                <w:sz w:val="22"/>
                <w:szCs w:val="22"/>
              </w:rPr>
              <w:t>, 312-уй</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Pr="006E54DA"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ind w:firstLine="45"/>
              <w:rPr>
                <w:rFonts w:eastAsiaTheme="minorEastAsia"/>
              </w:rPr>
            </w:pPr>
            <w:r w:rsidRPr="000C2C30">
              <w:rPr>
                <w:rFonts w:eastAsiaTheme="minorEastAsia"/>
                <w:sz w:val="22"/>
                <w:szCs w:val="22"/>
              </w:rPr>
              <w:t xml:space="preserve">Электрон почта </w:t>
            </w:r>
            <w:proofErr w:type="spellStart"/>
            <w:r w:rsidRPr="000C2C30">
              <w:rPr>
                <w:rFonts w:eastAsiaTheme="minorEastAsia"/>
                <w:sz w:val="22"/>
                <w:szCs w:val="22"/>
              </w:rPr>
              <w:t>манзили</w:t>
            </w:r>
            <w:proofErr w:type="spellEnd"/>
            <w:r w:rsidRPr="000C2C30">
              <w:rPr>
                <w:rFonts w:eastAsiaTheme="minorEastAsia"/>
                <w:sz w:val="22"/>
                <w:szCs w:val="22"/>
              </w:rPr>
              <w:t>:</w:t>
            </w:r>
            <w:hyperlink r:id="rId8" w:anchor="3080137" w:history="1">
              <w:r w:rsidRPr="000C2C30">
                <w:rPr>
                  <w:rStyle w:val="a3"/>
                  <w:rFonts w:eastAsiaTheme="minorEastAsia"/>
                  <w:sz w:val="22"/>
                  <w:szCs w:val="22"/>
                </w:rPr>
                <w:t>*</w:t>
              </w:r>
            </w:hyperlink>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C45E51">
            <w:r w:rsidRPr="00EE4534">
              <w:rPr>
                <w:sz w:val="22"/>
                <w:szCs w:val="22"/>
                <w:lang w:val="en-US"/>
              </w:rPr>
              <w:t>info@madadinvestbank.uz</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Pr="006E54DA" w:rsidRDefault="00153FA9" w:rsidP="00C45E51">
            <w:pPr>
              <w:rPr>
                <w:rFonts w:eastAsiaTheme="minorEastAsia"/>
              </w:rPr>
            </w:pPr>
          </w:p>
        </w:tc>
        <w:tc>
          <w:tcPr>
            <w:tcW w:w="130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ind w:firstLine="45"/>
              <w:rPr>
                <w:rFonts w:eastAsiaTheme="minorEastAsia"/>
              </w:rPr>
            </w:pPr>
            <w:proofErr w:type="spellStart"/>
            <w:r w:rsidRPr="000C2C30">
              <w:rPr>
                <w:rFonts w:eastAsiaTheme="minorEastAsia"/>
                <w:sz w:val="22"/>
                <w:szCs w:val="22"/>
              </w:rPr>
              <w:t>Расмий</w:t>
            </w:r>
            <w:proofErr w:type="spellEnd"/>
            <w:r w:rsidRPr="000C2C30">
              <w:rPr>
                <w:rFonts w:eastAsiaTheme="minorEastAsia"/>
                <w:sz w:val="22"/>
                <w:szCs w:val="22"/>
              </w:rPr>
              <w:t xml:space="preserve"> </w:t>
            </w:r>
            <w:proofErr w:type="spellStart"/>
            <w:r w:rsidRPr="000C2C30">
              <w:rPr>
                <w:rFonts w:eastAsiaTheme="minorEastAsia"/>
                <w:sz w:val="22"/>
                <w:szCs w:val="22"/>
              </w:rPr>
              <w:t>веб-сайти</w:t>
            </w:r>
            <w:proofErr w:type="spellEnd"/>
            <w:r w:rsidRPr="000C2C30">
              <w:rPr>
                <w:rFonts w:eastAsiaTheme="minorEastAsia"/>
                <w:sz w:val="22"/>
                <w:szCs w:val="22"/>
              </w:rPr>
              <w:t>:</w:t>
            </w:r>
            <w:hyperlink r:id="rId9" w:anchor="3080137" w:history="1">
              <w:r w:rsidRPr="000C2C30">
                <w:rPr>
                  <w:rStyle w:val="a3"/>
                  <w:rFonts w:eastAsiaTheme="minorEastAsia"/>
                  <w:sz w:val="22"/>
                  <w:szCs w:val="22"/>
                </w:rPr>
                <w:t>*</w:t>
              </w:r>
            </w:hyperlink>
          </w:p>
        </w:tc>
        <w:tc>
          <w:tcPr>
            <w:tcW w:w="3531" w:type="pct"/>
            <w:gridSpan w:val="11"/>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C45E51">
            <w:r w:rsidRPr="00EE4534">
              <w:rPr>
                <w:sz w:val="22"/>
                <w:szCs w:val="22"/>
                <w:lang w:val="en-US"/>
              </w:rPr>
              <w:t>www.madadinvestbank.uz</w:t>
            </w:r>
          </w:p>
        </w:tc>
      </w:tr>
      <w:tr w:rsidR="00073389" w:rsidTr="00CD33F7">
        <w:tc>
          <w:tcPr>
            <w:tcW w:w="16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jc w:val="center"/>
              <w:rPr>
                <w:rFonts w:eastAsiaTheme="minorEastAsia"/>
              </w:rPr>
            </w:pPr>
            <w:r w:rsidRPr="006E54DA">
              <w:rPr>
                <w:rFonts w:eastAsiaTheme="minorEastAsia"/>
                <w:sz w:val="22"/>
                <w:szCs w:val="22"/>
              </w:rPr>
              <w:t>3.</w:t>
            </w:r>
          </w:p>
        </w:tc>
        <w:tc>
          <w:tcPr>
            <w:tcW w:w="4839"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C45E51">
            <w:pPr>
              <w:pStyle w:val="a4"/>
              <w:spacing w:before="0" w:beforeAutospacing="0" w:after="0" w:afterAutospacing="0"/>
              <w:jc w:val="center"/>
              <w:rPr>
                <w:rFonts w:eastAsiaTheme="minorEastAsia"/>
              </w:rPr>
            </w:pPr>
            <w:r w:rsidRPr="000C2C30">
              <w:rPr>
                <w:rFonts w:eastAsiaTheme="minorEastAsia"/>
                <w:b/>
                <w:bCs/>
                <w:sz w:val="22"/>
                <w:szCs w:val="22"/>
              </w:rPr>
              <w:t>МУҲИМ ФАКТ ТЎҒРИСИДА АХБОРОТ</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1E7E9A">
            <w:pPr>
              <w:pStyle w:val="a4"/>
              <w:spacing w:before="0" w:beforeAutospacing="0" w:after="0" w:afterAutospacing="0"/>
              <w:ind w:right="-57" w:firstLine="45"/>
              <w:rPr>
                <w:rFonts w:eastAsiaTheme="minorEastAsia"/>
              </w:rPr>
            </w:pPr>
            <w:r w:rsidRPr="000C2C30">
              <w:rPr>
                <w:rFonts w:eastAsiaTheme="minorEastAsia"/>
                <w:sz w:val="22"/>
                <w:szCs w:val="22"/>
              </w:rPr>
              <w:t xml:space="preserve">Муҳим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рақами:</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153FA9" w:rsidP="00C45E51">
            <w:pPr>
              <w:pStyle w:val="a4"/>
              <w:spacing w:before="0" w:beforeAutospacing="0" w:after="0" w:afterAutospacing="0"/>
              <w:rPr>
                <w:rFonts w:eastAsiaTheme="minorEastAsia"/>
              </w:rPr>
            </w:pPr>
            <w:r w:rsidRPr="000C2C30">
              <w:rPr>
                <w:rFonts w:eastAsiaTheme="minorEastAsia"/>
                <w:sz w:val="22"/>
                <w:szCs w:val="22"/>
              </w:rPr>
              <w:t>06</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53FA9" w:rsidP="001E7E9A">
            <w:pPr>
              <w:pStyle w:val="a4"/>
              <w:spacing w:before="0" w:beforeAutospacing="0" w:after="0" w:afterAutospacing="0"/>
              <w:ind w:right="-57" w:firstLine="45"/>
              <w:rPr>
                <w:rFonts w:eastAsiaTheme="minorEastAsia"/>
              </w:rPr>
            </w:pPr>
            <w:r w:rsidRPr="000C2C30">
              <w:rPr>
                <w:rFonts w:eastAsiaTheme="minorEastAsia"/>
                <w:sz w:val="22"/>
                <w:szCs w:val="22"/>
              </w:rPr>
              <w:t xml:space="preserve">Муҳим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9F78AA" w:rsidRDefault="00153FA9" w:rsidP="00C45E51">
            <w:pPr>
              <w:pStyle w:val="a4"/>
              <w:spacing w:before="0" w:beforeAutospacing="0" w:after="0" w:afterAutospacing="0"/>
              <w:rPr>
                <w:rFonts w:eastAsiaTheme="minorEastAsia"/>
                <w:lang w:val="uz-Cyrl-UZ"/>
              </w:rPr>
            </w:pPr>
            <w:proofErr w:type="spellStart"/>
            <w:r w:rsidRPr="000C2C30">
              <w:rPr>
                <w:rFonts w:eastAsiaTheme="minorEastAsia"/>
                <w:sz w:val="22"/>
                <w:szCs w:val="22"/>
              </w:rPr>
              <w:t>Эмитентнинг</w:t>
            </w:r>
            <w:proofErr w:type="spellEnd"/>
            <w:r w:rsidRPr="000C2C30">
              <w:rPr>
                <w:rFonts w:eastAsiaTheme="minorEastAsia"/>
                <w:sz w:val="22"/>
                <w:szCs w:val="22"/>
              </w:rPr>
              <w:t xml:space="preserve"> юқори бошқарув </w:t>
            </w:r>
            <w:proofErr w:type="spellStart"/>
            <w:r w:rsidRPr="000C2C30">
              <w:rPr>
                <w:rFonts w:eastAsiaTheme="minorEastAsia"/>
                <w:sz w:val="22"/>
                <w:szCs w:val="22"/>
              </w:rPr>
              <w:t>органи</w:t>
            </w:r>
            <w:proofErr w:type="spellEnd"/>
            <w:r w:rsidRPr="000C2C30">
              <w:rPr>
                <w:rFonts w:eastAsiaTheme="minorEastAsia"/>
                <w:sz w:val="22"/>
                <w:szCs w:val="22"/>
              </w:rPr>
              <w:t xml:space="preserve"> </w:t>
            </w:r>
            <w:proofErr w:type="spellStart"/>
            <w:r w:rsidRPr="000C2C30">
              <w:rPr>
                <w:rFonts w:eastAsiaTheme="minorEastAsia"/>
                <w:sz w:val="22"/>
                <w:szCs w:val="22"/>
              </w:rPr>
              <w:t>томонидан</w:t>
            </w:r>
            <w:proofErr w:type="spellEnd"/>
            <w:r w:rsidRPr="000C2C30">
              <w:rPr>
                <w:rFonts w:eastAsiaTheme="minorEastAsia"/>
                <w:sz w:val="22"/>
                <w:szCs w:val="22"/>
              </w:rPr>
              <w:t xml:space="preserve"> қабул қилинган қарорлар</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53FA9" w:rsidP="001E7E9A">
            <w:pPr>
              <w:pStyle w:val="a4"/>
              <w:spacing w:before="0" w:beforeAutospacing="0" w:after="0" w:afterAutospacing="0"/>
              <w:ind w:right="-57"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йиғилиш </w:t>
            </w:r>
            <w:proofErr w:type="gramStart"/>
            <w:r w:rsidRPr="000C2C30">
              <w:rPr>
                <w:rFonts w:eastAsiaTheme="minorEastAsia"/>
                <w:sz w:val="22"/>
                <w:szCs w:val="22"/>
              </w:rPr>
              <w:t>тури</w:t>
            </w:r>
            <w:proofErr w:type="gramEnd"/>
            <w:r w:rsidRPr="000C2C30">
              <w:rPr>
                <w:rFonts w:eastAsiaTheme="minorEastAsia"/>
                <w:sz w:val="22"/>
                <w:szCs w:val="22"/>
              </w:rPr>
              <w:t>:</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9E6E7B" w:rsidRDefault="00777219" w:rsidP="009E6E7B">
            <w:pPr>
              <w:pStyle w:val="a4"/>
              <w:spacing w:before="0" w:beforeAutospacing="0" w:after="0" w:afterAutospacing="0"/>
              <w:rPr>
                <w:rFonts w:eastAsiaTheme="minorEastAsia"/>
                <w:lang w:val="uz-Cyrl-UZ"/>
              </w:rPr>
            </w:pPr>
            <w:proofErr w:type="spellStart"/>
            <w:r w:rsidRPr="000C2C30">
              <w:rPr>
                <w:sz w:val="22"/>
                <w:szCs w:val="22"/>
              </w:rPr>
              <w:t>Акциядорларнинг</w:t>
            </w:r>
            <w:proofErr w:type="spellEnd"/>
            <w:r w:rsidRPr="000C2C30">
              <w:rPr>
                <w:sz w:val="22"/>
                <w:szCs w:val="22"/>
              </w:rPr>
              <w:t xml:space="preserve"> </w:t>
            </w:r>
            <w:r w:rsidR="009E6E7B">
              <w:rPr>
                <w:sz w:val="22"/>
                <w:szCs w:val="22"/>
                <w:lang w:val="uz-Cyrl-UZ"/>
              </w:rPr>
              <w:t>навбатдан ташқари</w:t>
            </w:r>
            <w:r w:rsidRPr="000C2C30">
              <w:rPr>
                <w:sz w:val="22"/>
                <w:szCs w:val="22"/>
              </w:rPr>
              <w:t xml:space="preserve"> </w:t>
            </w:r>
            <w:proofErr w:type="spellStart"/>
            <w:r w:rsidRPr="000C2C30">
              <w:rPr>
                <w:sz w:val="22"/>
                <w:szCs w:val="22"/>
              </w:rPr>
              <w:t>умумий</w:t>
            </w:r>
            <w:proofErr w:type="spellEnd"/>
            <w:r w:rsidRPr="000C2C30">
              <w:rPr>
                <w:sz w:val="22"/>
                <w:szCs w:val="22"/>
              </w:rPr>
              <w:t xml:space="preserve"> </w:t>
            </w:r>
            <w:proofErr w:type="spellStart"/>
            <w:r w:rsidRPr="000C2C30">
              <w:rPr>
                <w:sz w:val="22"/>
                <w:szCs w:val="22"/>
              </w:rPr>
              <w:t>йи</w:t>
            </w:r>
            <w:proofErr w:type="spellEnd"/>
            <w:r w:rsidRPr="000C2C30">
              <w:rPr>
                <w:sz w:val="22"/>
                <w:szCs w:val="22"/>
                <w:lang w:val="uz-Cyrl-UZ"/>
              </w:rPr>
              <w:t>ғ</w:t>
            </w:r>
            <w:proofErr w:type="spellStart"/>
            <w:r w:rsidRPr="000C2C30">
              <w:rPr>
                <w:sz w:val="22"/>
                <w:szCs w:val="22"/>
              </w:rPr>
              <w:t>илиши</w:t>
            </w:r>
            <w:proofErr w:type="spellEnd"/>
          </w:p>
        </w:tc>
      </w:tr>
      <w:tr w:rsidR="00073389"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vMerge/>
            <w:tcBorders>
              <w:top w:val="nil"/>
              <w:left w:val="nil"/>
              <w:bottom w:val="single" w:sz="8" w:space="0" w:color="auto"/>
              <w:right w:val="single" w:sz="8" w:space="0" w:color="auto"/>
            </w:tcBorders>
            <w:vAlign w:val="center"/>
            <w:hideMark/>
          </w:tcPr>
          <w:p w:rsidR="00153FA9" w:rsidRPr="000C2C30" w:rsidRDefault="00153FA9" w:rsidP="001E7E9A">
            <w:pPr>
              <w:ind w:right="-57"/>
              <w:rPr>
                <w:rFonts w:eastAsiaTheme="minorEastAsia"/>
              </w:rPr>
            </w:pP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153FA9" w:rsidP="00C45E51">
            <w:pPr>
              <w:pStyle w:val="a4"/>
              <w:spacing w:before="0" w:beforeAutospacing="0" w:after="0" w:afterAutospacing="0"/>
              <w:rPr>
                <w:rFonts w:eastAsiaTheme="minorEastAsia"/>
              </w:rPr>
            </w:pP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1E7E9A">
            <w:pPr>
              <w:pStyle w:val="a4"/>
              <w:spacing w:before="0" w:beforeAutospacing="0" w:after="0" w:afterAutospacing="0"/>
              <w:ind w:right="-57"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йиғилиш </w:t>
            </w:r>
            <w:proofErr w:type="spellStart"/>
            <w:r w:rsidRPr="000C2C30">
              <w:rPr>
                <w:rFonts w:eastAsiaTheme="minorEastAsia"/>
                <w:sz w:val="22"/>
                <w:szCs w:val="22"/>
              </w:rPr>
              <w:t>ўтказиш</w:t>
            </w:r>
            <w:proofErr w:type="spellEnd"/>
            <w:r w:rsidRPr="000C2C30">
              <w:rPr>
                <w:rFonts w:eastAsiaTheme="minorEastAsia"/>
                <w:sz w:val="22"/>
                <w:szCs w:val="22"/>
              </w:rPr>
              <w:t xml:space="preserve"> </w:t>
            </w:r>
            <w:proofErr w:type="spellStart"/>
            <w:r w:rsidRPr="000C2C30">
              <w:rPr>
                <w:rFonts w:eastAsiaTheme="minorEastAsia"/>
                <w:sz w:val="22"/>
                <w:szCs w:val="22"/>
              </w:rPr>
              <w:t>санаси</w:t>
            </w:r>
            <w:proofErr w:type="spellEnd"/>
            <w:r w:rsidRPr="000C2C30">
              <w:rPr>
                <w:rFonts w:eastAsiaTheme="minorEastAsia"/>
                <w:sz w:val="22"/>
                <w:szCs w:val="22"/>
              </w:rPr>
              <w:t>:</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B50FEE">
            <w:pPr>
              <w:rPr>
                <w:lang w:val="uz-Cyrl-UZ"/>
              </w:rPr>
            </w:pPr>
            <w:r>
              <w:rPr>
                <w:sz w:val="22"/>
                <w:szCs w:val="22"/>
                <w:lang w:val="uz-Cyrl-UZ"/>
              </w:rPr>
              <w:t>10</w:t>
            </w:r>
            <w:r w:rsidR="00C31403" w:rsidRPr="000C2C30">
              <w:rPr>
                <w:sz w:val="22"/>
                <w:szCs w:val="22"/>
                <w:lang w:val="en-US"/>
              </w:rPr>
              <w:t>.</w:t>
            </w:r>
            <w:r>
              <w:rPr>
                <w:sz w:val="22"/>
                <w:szCs w:val="22"/>
                <w:lang w:val="uz-Cyrl-UZ"/>
              </w:rPr>
              <w:t>03</w:t>
            </w:r>
            <w:r w:rsidR="00C31403" w:rsidRPr="000C2C30">
              <w:rPr>
                <w:sz w:val="22"/>
                <w:szCs w:val="22"/>
                <w:lang w:val="en-US"/>
              </w:rPr>
              <w:t>.20</w:t>
            </w:r>
            <w:r>
              <w:rPr>
                <w:sz w:val="22"/>
                <w:szCs w:val="22"/>
                <w:lang w:val="uz-Cyrl-UZ"/>
              </w:rPr>
              <w:t>20</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1E7E9A">
            <w:pPr>
              <w:pStyle w:val="a4"/>
              <w:spacing w:before="0" w:beforeAutospacing="0" w:after="0" w:afterAutospacing="0"/>
              <w:ind w:right="-57"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йиғилиш </w:t>
            </w:r>
            <w:proofErr w:type="spellStart"/>
            <w:r w:rsidRPr="000C2C30">
              <w:rPr>
                <w:rFonts w:eastAsiaTheme="minorEastAsia"/>
                <w:sz w:val="22"/>
                <w:szCs w:val="22"/>
              </w:rPr>
              <w:t>баённомаси</w:t>
            </w:r>
            <w:proofErr w:type="spellEnd"/>
            <w:r w:rsidRPr="000C2C30">
              <w:rPr>
                <w:rFonts w:eastAsiaTheme="minorEastAsia"/>
                <w:sz w:val="22"/>
                <w:szCs w:val="22"/>
              </w:rPr>
              <w:t xml:space="preserve"> </w:t>
            </w:r>
            <w:proofErr w:type="spellStart"/>
            <w:r w:rsidRPr="000C2C30">
              <w:rPr>
                <w:rFonts w:eastAsiaTheme="minorEastAsia"/>
                <w:sz w:val="22"/>
                <w:szCs w:val="22"/>
              </w:rPr>
              <w:t>тузилган</w:t>
            </w:r>
            <w:proofErr w:type="spellEnd"/>
            <w:r w:rsidRPr="000C2C30">
              <w:rPr>
                <w:rFonts w:eastAsiaTheme="minorEastAsia"/>
                <w:sz w:val="22"/>
                <w:szCs w:val="22"/>
              </w:rPr>
              <w:t xml:space="preserve"> сана:</w:t>
            </w:r>
          </w:p>
        </w:tc>
        <w:tc>
          <w:tcPr>
            <w:tcW w:w="2701" w:type="pct"/>
            <w:gridSpan w:val="9"/>
            <w:tcBorders>
              <w:top w:val="nil"/>
              <w:left w:val="nil"/>
              <w:bottom w:val="single" w:sz="8" w:space="0" w:color="auto"/>
              <w:right w:val="single" w:sz="8" w:space="0" w:color="auto"/>
            </w:tcBorders>
            <w:shd w:val="clear" w:color="auto" w:fill="auto"/>
            <w:tcMar>
              <w:top w:w="19" w:type="dxa"/>
              <w:left w:w="37" w:type="dxa"/>
              <w:bottom w:w="19" w:type="dxa"/>
              <w:right w:w="19" w:type="dxa"/>
            </w:tcMar>
            <w:vAlign w:val="center"/>
            <w:hideMark/>
          </w:tcPr>
          <w:p w:rsidR="00153FA9" w:rsidRPr="000C2C30" w:rsidRDefault="009E6E7B" w:rsidP="00B50FEE">
            <w:r>
              <w:rPr>
                <w:sz w:val="22"/>
                <w:szCs w:val="22"/>
                <w:lang w:val="uz-Cyrl-UZ"/>
              </w:rPr>
              <w:t>1</w:t>
            </w:r>
            <w:r w:rsidR="00EE4534">
              <w:rPr>
                <w:sz w:val="22"/>
                <w:szCs w:val="22"/>
                <w:lang w:val="uz-Cyrl-UZ"/>
              </w:rPr>
              <w:t>9</w:t>
            </w:r>
            <w:r w:rsidR="00374E4D" w:rsidRPr="000C2C30">
              <w:rPr>
                <w:sz w:val="22"/>
                <w:szCs w:val="22"/>
                <w:lang w:val="en-US"/>
              </w:rPr>
              <w:t>.</w:t>
            </w:r>
            <w:r w:rsidR="00EE4534">
              <w:rPr>
                <w:sz w:val="22"/>
                <w:szCs w:val="22"/>
                <w:lang w:val="uz-Cyrl-UZ"/>
              </w:rPr>
              <w:t>03</w:t>
            </w:r>
            <w:r w:rsidR="00C31403" w:rsidRPr="000C2C30">
              <w:rPr>
                <w:sz w:val="22"/>
                <w:szCs w:val="22"/>
                <w:lang w:val="en-US"/>
              </w:rPr>
              <w:t>.20</w:t>
            </w:r>
            <w:r w:rsidR="00EE4534">
              <w:rPr>
                <w:sz w:val="22"/>
                <w:szCs w:val="22"/>
                <w:lang w:val="uz-Cyrl-UZ"/>
              </w:rPr>
              <w:t>20</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53FA9" w:rsidP="001E7E9A">
            <w:pPr>
              <w:pStyle w:val="a4"/>
              <w:spacing w:before="0" w:beforeAutospacing="0" w:after="0" w:afterAutospacing="0"/>
              <w:ind w:right="-57"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йиғилиш </w:t>
            </w:r>
            <w:proofErr w:type="spellStart"/>
            <w:r w:rsidRPr="000C2C30">
              <w:rPr>
                <w:rFonts w:eastAsiaTheme="minorEastAsia"/>
                <w:sz w:val="22"/>
                <w:szCs w:val="22"/>
              </w:rPr>
              <w:t>ўтказилган</w:t>
            </w:r>
            <w:proofErr w:type="spellEnd"/>
            <w:r w:rsidRPr="000C2C30">
              <w:rPr>
                <w:rFonts w:eastAsiaTheme="minorEastAsia"/>
                <w:sz w:val="22"/>
                <w:szCs w:val="22"/>
              </w:rPr>
              <w:t xml:space="preserve"> </w:t>
            </w:r>
            <w:proofErr w:type="spellStart"/>
            <w:r w:rsidRPr="000C2C30">
              <w:rPr>
                <w:rFonts w:eastAsiaTheme="minorEastAsia"/>
                <w:sz w:val="22"/>
                <w:szCs w:val="22"/>
              </w:rPr>
              <w:t>жой</w:t>
            </w:r>
            <w:proofErr w:type="spellEnd"/>
            <w:r w:rsidRPr="000C2C30">
              <w:rPr>
                <w:rFonts w:eastAsiaTheme="minorEastAsia"/>
                <w:sz w:val="22"/>
                <w:szCs w:val="22"/>
              </w:rPr>
              <w:t>:</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EE4534">
            <w:pPr>
              <w:pStyle w:val="Style4"/>
              <w:widowControl/>
              <w:tabs>
                <w:tab w:val="left" w:pos="4152"/>
              </w:tabs>
              <w:spacing w:line="240" w:lineRule="auto"/>
              <w:jc w:val="both"/>
              <w:rPr>
                <w:lang w:val="uz-Cyrl-UZ"/>
              </w:rPr>
            </w:pPr>
            <w:r w:rsidRPr="00955FE1">
              <w:rPr>
                <w:rStyle w:val="FontStyle23"/>
                <w:lang w:val="uz-Cyrl-UZ"/>
              </w:rPr>
              <w:t>Фарғона шаҳар, С.Темур кўчаси, 71-уй</w:t>
            </w:r>
            <w:r>
              <w:rPr>
                <w:rStyle w:val="FontStyle23"/>
                <w:lang w:val="uz-Cyrl-UZ"/>
              </w:rPr>
              <w:t>да</w:t>
            </w:r>
            <w:r w:rsidRPr="00955FE1">
              <w:rPr>
                <w:rStyle w:val="FontStyle23"/>
                <w:lang w:val="uz-Cyrl-UZ"/>
              </w:rPr>
              <w:tab/>
              <w:t xml:space="preserve">жойлашган </w:t>
            </w:r>
            <w:r>
              <w:rPr>
                <w:rStyle w:val="FontStyle23"/>
                <w:lang w:val="uz-Cyrl-UZ"/>
              </w:rPr>
              <w:t>“</w:t>
            </w:r>
            <w:r w:rsidRPr="00955FE1">
              <w:rPr>
                <w:rStyle w:val="FontStyle23"/>
                <w:lang w:val="uz-Cyrl-UZ"/>
              </w:rPr>
              <w:t>STROY MONTAJ INVEST</w:t>
            </w:r>
            <w:r>
              <w:rPr>
                <w:rStyle w:val="FontStyle23"/>
                <w:lang w:val="uz-Cyrl-UZ"/>
              </w:rPr>
              <w:t>”</w:t>
            </w:r>
            <w:r w:rsidRPr="00955FE1">
              <w:rPr>
                <w:rStyle w:val="FontStyle23"/>
                <w:lang w:val="uz-Cyrl-UZ"/>
              </w:rPr>
              <w:t xml:space="preserve"> МЧЖ маъмурий биносининг мажлислар зали</w:t>
            </w:r>
          </w:p>
        </w:tc>
      </w:tr>
      <w:tr w:rsidR="00983C71"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13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153FA9" w:rsidRPr="000C2C30" w:rsidRDefault="00153FA9" w:rsidP="001E7E9A">
            <w:pPr>
              <w:pStyle w:val="a4"/>
              <w:spacing w:before="0" w:beforeAutospacing="0" w:after="0" w:afterAutospacing="0"/>
              <w:ind w:right="-57"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йиғилиш </w:t>
            </w:r>
            <w:proofErr w:type="spellStart"/>
            <w:r w:rsidRPr="000C2C30">
              <w:rPr>
                <w:rFonts w:eastAsiaTheme="minorEastAsia"/>
                <w:sz w:val="22"/>
                <w:szCs w:val="22"/>
              </w:rPr>
              <w:t>кворуми</w:t>
            </w:r>
            <w:proofErr w:type="spellEnd"/>
            <w:r w:rsidRPr="000C2C30">
              <w:rPr>
                <w:rFonts w:eastAsiaTheme="minorEastAsia"/>
                <w:sz w:val="22"/>
                <w:szCs w:val="22"/>
              </w:rPr>
              <w:t>:</w:t>
            </w:r>
          </w:p>
        </w:tc>
        <w:tc>
          <w:tcPr>
            <w:tcW w:w="2701"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153FA9" w:rsidRPr="000C2C30" w:rsidRDefault="00EE4534" w:rsidP="00EE4534">
            <w:pPr>
              <w:rPr>
                <w:lang w:val="uz-Cyrl-UZ"/>
              </w:rPr>
            </w:pPr>
            <w:r>
              <w:rPr>
                <w:sz w:val="22"/>
                <w:szCs w:val="22"/>
                <w:lang w:val="uz-Cyrl-UZ"/>
              </w:rPr>
              <w:t>79</w:t>
            </w:r>
            <w:r w:rsidR="00DA03AE" w:rsidRPr="000C2C30">
              <w:rPr>
                <w:sz w:val="22"/>
                <w:szCs w:val="22"/>
              </w:rPr>
              <w:t>,</w:t>
            </w:r>
            <w:r>
              <w:rPr>
                <w:sz w:val="22"/>
                <w:szCs w:val="22"/>
                <w:lang w:val="uz-Cyrl-UZ"/>
              </w:rPr>
              <w:t>2</w:t>
            </w:r>
            <w:r w:rsidR="00B54218">
              <w:rPr>
                <w:sz w:val="22"/>
                <w:szCs w:val="22"/>
              </w:rPr>
              <w:t xml:space="preserve"> </w:t>
            </w:r>
            <w:r w:rsidR="00DA03AE" w:rsidRPr="000C2C30">
              <w:rPr>
                <w:sz w:val="22"/>
                <w:szCs w:val="22"/>
                <w:lang w:val="uz-Cyrl-UZ"/>
              </w:rPr>
              <w:t>%</w:t>
            </w:r>
          </w:p>
        </w:tc>
      </w:tr>
      <w:tr w:rsidR="0073315C"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04"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4B3" w:rsidRDefault="000004B3" w:rsidP="000004B3">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Т/</w:t>
            </w:r>
            <w:proofErr w:type="spellStart"/>
            <w:proofErr w:type="gramStart"/>
            <w:r>
              <w:rPr>
                <w:rFonts w:eastAsiaTheme="minorHAnsi"/>
                <w:b/>
                <w:bCs/>
                <w:sz w:val="20"/>
                <w:szCs w:val="20"/>
                <w:lang w:eastAsia="en-US"/>
              </w:rPr>
              <w:t>р</w:t>
            </w:r>
            <w:proofErr w:type="spellEnd"/>
            <w:proofErr w:type="gramEnd"/>
          </w:p>
          <w:p w:rsidR="00153FA9" w:rsidRPr="006E54DA" w:rsidRDefault="00153FA9" w:rsidP="00C45E51">
            <w:pPr>
              <w:pStyle w:val="a4"/>
              <w:spacing w:before="0" w:beforeAutospacing="0" w:after="0" w:afterAutospacing="0"/>
              <w:jc w:val="center"/>
              <w:rPr>
                <w:rFonts w:eastAsiaTheme="minorEastAsia"/>
                <w:sz w:val="18"/>
                <w:szCs w:val="18"/>
              </w:rPr>
            </w:pPr>
          </w:p>
        </w:tc>
        <w:tc>
          <w:tcPr>
            <w:tcW w:w="2339"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6E54DA" w:rsidRDefault="00153FA9" w:rsidP="00C45E51">
            <w:pPr>
              <w:pStyle w:val="a4"/>
              <w:spacing w:before="0" w:beforeAutospacing="0" w:after="0" w:afterAutospacing="0"/>
              <w:jc w:val="center"/>
              <w:rPr>
                <w:rFonts w:eastAsiaTheme="minorEastAsia"/>
                <w:sz w:val="18"/>
                <w:szCs w:val="18"/>
              </w:rPr>
            </w:pPr>
            <w:proofErr w:type="spellStart"/>
            <w:r w:rsidRPr="006E54DA">
              <w:rPr>
                <w:rFonts w:eastAsiaTheme="minorEastAsia"/>
                <w:b/>
                <w:bCs/>
                <w:sz w:val="18"/>
                <w:szCs w:val="18"/>
              </w:rPr>
              <w:t>Овоз</w:t>
            </w:r>
            <w:proofErr w:type="spellEnd"/>
            <w:r w:rsidRPr="006E54DA">
              <w:rPr>
                <w:rFonts w:eastAsiaTheme="minorEastAsia"/>
                <w:b/>
                <w:bCs/>
                <w:sz w:val="18"/>
                <w:szCs w:val="18"/>
              </w:rPr>
              <w:t xml:space="preserve"> </w:t>
            </w:r>
            <w:proofErr w:type="spellStart"/>
            <w:r w:rsidRPr="006E54DA">
              <w:rPr>
                <w:rFonts w:eastAsiaTheme="minorEastAsia"/>
                <w:b/>
                <w:bCs/>
                <w:sz w:val="18"/>
                <w:szCs w:val="18"/>
              </w:rPr>
              <w:t>беришга</w:t>
            </w:r>
            <w:proofErr w:type="spellEnd"/>
            <w:r w:rsidRPr="006E54DA">
              <w:rPr>
                <w:rFonts w:eastAsiaTheme="minorEastAsia"/>
                <w:b/>
                <w:bCs/>
                <w:sz w:val="18"/>
                <w:szCs w:val="18"/>
              </w:rPr>
              <w:t xml:space="preserve"> қўйилган </w:t>
            </w:r>
            <w:proofErr w:type="spellStart"/>
            <w:r w:rsidRPr="006E54DA">
              <w:rPr>
                <w:rFonts w:eastAsiaTheme="minorEastAsia"/>
                <w:b/>
                <w:bCs/>
                <w:sz w:val="18"/>
                <w:szCs w:val="18"/>
              </w:rPr>
              <w:t>масалалар</w:t>
            </w:r>
            <w:proofErr w:type="spellEnd"/>
          </w:p>
        </w:tc>
        <w:tc>
          <w:tcPr>
            <w:tcW w:w="2296"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proofErr w:type="spellStart"/>
            <w:r w:rsidRPr="006E54DA">
              <w:rPr>
                <w:rFonts w:eastAsiaTheme="minorEastAsia"/>
                <w:b/>
                <w:bCs/>
                <w:sz w:val="18"/>
                <w:szCs w:val="18"/>
              </w:rPr>
              <w:t>Овоз</w:t>
            </w:r>
            <w:proofErr w:type="spellEnd"/>
            <w:r w:rsidRPr="006E54DA">
              <w:rPr>
                <w:rFonts w:eastAsiaTheme="minorEastAsia"/>
                <w:b/>
                <w:bCs/>
                <w:sz w:val="18"/>
                <w:szCs w:val="18"/>
              </w:rPr>
              <w:t xml:space="preserve"> </w:t>
            </w:r>
            <w:proofErr w:type="spellStart"/>
            <w:r w:rsidRPr="006E54DA">
              <w:rPr>
                <w:rFonts w:eastAsiaTheme="minorEastAsia"/>
                <w:b/>
                <w:bCs/>
                <w:sz w:val="18"/>
                <w:szCs w:val="18"/>
              </w:rPr>
              <w:t>бериш</w:t>
            </w:r>
            <w:proofErr w:type="spellEnd"/>
            <w:r w:rsidRPr="006E54DA">
              <w:rPr>
                <w:rFonts w:eastAsiaTheme="minorEastAsia"/>
                <w:b/>
                <w:bCs/>
                <w:sz w:val="18"/>
                <w:szCs w:val="18"/>
              </w:rPr>
              <w:t xml:space="preserve"> </w:t>
            </w:r>
            <w:proofErr w:type="spellStart"/>
            <w:r w:rsidRPr="006E54DA">
              <w:rPr>
                <w:rFonts w:eastAsiaTheme="minorEastAsia"/>
                <w:b/>
                <w:bCs/>
                <w:sz w:val="18"/>
                <w:szCs w:val="18"/>
              </w:rPr>
              <w:t>якунлари</w:t>
            </w:r>
            <w:proofErr w:type="spellEnd"/>
          </w:p>
        </w:tc>
      </w:tr>
      <w:tr w:rsidR="006E54DA"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04" w:type="pct"/>
            <w:vMerge/>
            <w:tcBorders>
              <w:top w:val="nil"/>
              <w:left w:val="nil"/>
              <w:bottom w:val="single" w:sz="8" w:space="0" w:color="auto"/>
              <w:right w:val="single" w:sz="8" w:space="0" w:color="auto"/>
            </w:tcBorders>
            <w:vAlign w:val="center"/>
            <w:hideMark/>
          </w:tcPr>
          <w:p w:rsidR="00153FA9" w:rsidRPr="006E54DA" w:rsidRDefault="00153FA9" w:rsidP="00C45E51">
            <w:pPr>
              <w:rPr>
                <w:rFonts w:eastAsiaTheme="minorEastAsia"/>
                <w:sz w:val="18"/>
                <w:szCs w:val="18"/>
              </w:rPr>
            </w:pPr>
          </w:p>
        </w:tc>
        <w:tc>
          <w:tcPr>
            <w:tcW w:w="2339" w:type="pct"/>
            <w:gridSpan w:val="4"/>
            <w:vMerge/>
            <w:tcBorders>
              <w:top w:val="nil"/>
              <w:left w:val="nil"/>
              <w:bottom w:val="single" w:sz="8" w:space="0" w:color="auto"/>
              <w:right w:val="single" w:sz="8" w:space="0" w:color="auto"/>
            </w:tcBorders>
            <w:vAlign w:val="center"/>
            <w:hideMark/>
          </w:tcPr>
          <w:p w:rsidR="00153FA9" w:rsidRPr="006E54DA" w:rsidRDefault="00153FA9" w:rsidP="00C45E51">
            <w:pPr>
              <w:rPr>
                <w:rFonts w:eastAsiaTheme="minorEastAsia"/>
                <w:sz w:val="18"/>
                <w:szCs w:val="18"/>
              </w:rPr>
            </w:pPr>
          </w:p>
        </w:tc>
        <w:tc>
          <w:tcPr>
            <w:tcW w:w="77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A44EAC" w:rsidP="00C45E51">
            <w:pPr>
              <w:pStyle w:val="a4"/>
              <w:spacing w:before="0" w:beforeAutospacing="0" w:after="0" w:afterAutospacing="0"/>
              <w:ind w:left="-35"/>
              <w:jc w:val="center"/>
              <w:rPr>
                <w:rFonts w:eastAsiaTheme="minorEastAsia"/>
                <w:sz w:val="18"/>
                <w:szCs w:val="18"/>
              </w:rPr>
            </w:pPr>
            <w:r w:rsidRPr="006E54DA">
              <w:rPr>
                <w:b/>
                <w:bCs/>
                <w:sz w:val="18"/>
                <w:szCs w:val="18"/>
              </w:rPr>
              <w:t>ёқлаш</w:t>
            </w:r>
          </w:p>
        </w:tc>
        <w:tc>
          <w:tcPr>
            <w:tcW w:w="766"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A44EAC" w:rsidP="00C45E51">
            <w:pPr>
              <w:pStyle w:val="a4"/>
              <w:spacing w:before="0" w:beforeAutospacing="0" w:after="0" w:afterAutospacing="0"/>
              <w:ind w:left="-35"/>
              <w:jc w:val="center"/>
              <w:rPr>
                <w:rFonts w:eastAsiaTheme="minorEastAsia"/>
                <w:sz w:val="18"/>
                <w:szCs w:val="18"/>
              </w:rPr>
            </w:pPr>
            <w:r w:rsidRPr="006E54DA">
              <w:rPr>
                <w:b/>
                <w:bCs/>
                <w:sz w:val="18"/>
                <w:szCs w:val="18"/>
              </w:rPr>
              <w:t>қарши</w:t>
            </w:r>
          </w:p>
        </w:tc>
        <w:tc>
          <w:tcPr>
            <w:tcW w:w="76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A44EAC" w:rsidP="00C45E51">
            <w:pPr>
              <w:pStyle w:val="a4"/>
              <w:spacing w:before="0" w:beforeAutospacing="0" w:after="0" w:afterAutospacing="0"/>
              <w:ind w:left="-35"/>
              <w:jc w:val="center"/>
              <w:rPr>
                <w:rFonts w:eastAsiaTheme="minorEastAsia"/>
                <w:sz w:val="18"/>
                <w:szCs w:val="18"/>
              </w:rPr>
            </w:pPr>
            <w:proofErr w:type="spellStart"/>
            <w:r w:rsidRPr="006E54DA">
              <w:rPr>
                <w:b/>
                <w:bCs/>
                <w:sz w:val="18"/>
                <w:szCs w:val="18"/>
              </w:rPr>
              <w:t>бетарафлар</w:t>
            </w:r>
            <w:proofErr w:type="spellEnd"/>
          </w:p>
        </w:tc>
      </w:tr>
      <w:tr w:rsidR="006E54DA" w:rsidTr="00FF7ACB">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04" w:type="pct"/>
            <w:vMerge/>
            <w:tcBorders>
              <w:top w:val="nil"/>
              <w:left w:val="nil"/>
              <w:bottom w:val="single" w:sz="8" w:space="0" w:color="auto"/>
              <w:right w:val="single" w:sz="8" w:space="0" w:color="auto"/>
            </w:tcBorders>
            <w:vAlign w:val="center"/>
            <w:hideMark/>
          </w:tcPr>
          <w:p w:rsidR="00153FA9" w:rsidRPr="006E54DA" w:rsidRDefault="00153FA9" w:rsidP="00C45E51">
            <w:pPr>
              <w:rPr>
                <w:rFonts w:eastAsiaTheme="minorEastAsia"/>
                <w:sz w:val="18"/>
                <w:szCs w:val="18"/>
              </w:rPr>
            </w:pPr>
          </w:p>
        </w:tc>
        <w:tc>
          <w:tcPr>
            <w:tcW w:w="2339" w:type="pct"/>
            <w:gridSpan w:val="4"/>
            <w:vMerge/>
            <w:tcBorders>
              <w:top w:val="nil"/>
              <w:left w:val="nil"/>
              <w:bottom w:val="single" w:sz="8" w:space="0" w:color="auto"/>
              <w:right w:val="single" w:sz="8" w:space="0" w:color="auto"/>
            </w:tcBorders>
            <w:vAlign w:val="center"/>
            <w:hideMark/>
          </w:tcPr>
          <w:p w:rsidR="00153FA9" w:rsidRPr="006E54DA" w:rsidRDefault="00153FA9" w:rsidP="00C45E51">
            <w:pPr>
              <w:rPr>
                <w:rFonts w:eastAsiaTheme="minorEastAsia"/>
                <w:sz w:val="18"/>
                <w:szCs w:val="18"/>
              </w:rPr>
            </w:pPr>
          </w:p>
        </w:tc>
        <w:tc>
          <w:tcPr>
            <w:tcW w:w="27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w:t>
            </w:r>
          </w:p>
        </w:tc>
        <w:tc>
          <w:tcPr>
            <w:tcW w:w="49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сони</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сони</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6E54DA" w:rsidRDefault="00153FA9" w:rsidP="00C45E51">
            <w:pPr>
              <w:pStyle w:val="a4"/>
              <w:spacing w:before="0" w:beforeAutospacing="0" w:after="0" w:afterAutospacing="0"/>
              <w:ind w:left="-35"/>
              <w:jc w:val="center"/>
              <w:rPr>
                <w:rFonts w:eastAsiaTheme="minorEastAsia"/>
                <w:sz w:val="18"/>
                <w:szCs w:val="18"/>
              </w:rPr>
            </w:pPr>
            <w:r w:rsidRPr="006E54DA">
              <w:rPr>
                <w:rFonts w:eastAsiaTheme="minorEastAsia"/>
                <w:b/>
                <w:bCs/>
                <w:sz w:val="18"/>
                <w:szCs w:val="18"/>
              </w:rPr>
              <w:t>сони</w:t>
            </w:r>
          </w:p>
        </w:tc>
      </w:tr>
      <w:tr w:rsidR="006E54DA" w:rsidTr="00FF7ACB">
        <w:trPr>
          <w:trHeight w:val="490"/>
        </w:trPr>
        <w:tc>
          <w:tcPr>
            <w:tcW w:w="161" w:type="pct"/>
            <w:vMerge/>
            <w:tcBorders>
              <w:top w:val="nil"/>
              <w:left w:val="single" w:sz="8" w:space="0" w:color="auto"/>
              <w:bottom w:val="single" w:sz="8" w:space="0" w:color="auto"/>
              <w:right w:val="single" w:sz="8" w:space="0" w:color="auto"/>
            </w:tcBorders>
            <w:vAlign w:val="center"/>
            <w:hideMark/>
          </w:tcPr>
          <w:p w:rsidR="00153FA9" w:rsidRDefault="00153FA9" w:rsidP="00C45E51">
            <w:pPr>
              <w:rPr>
                <w:rFonts w:eastAsiaTheme="minorEastAsia"/>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6E54DA" w:rsidRDefault="00153FA9" w:rsidP="00C45E51">
            <w:pPr>
              <w:pStyle w:val="a4"/>
              <w:spacing w:before="0" w:beforeAutospacing="0" w:after="0" w:afterAutospacing="0"/>
              <w:jc w:val="center"/>
              <w:rPr>
                <w:rFonts w:eastAsiaTheme="minorEastAsia"/>
                <w:sz w:val="18"/>
                <w:szCs w:val="18"/>
              </w:rPr>
            </w:pPr>
            <w:r w:rsidRPr="006E54DA">
              <w:rPr>
                <w:rFonts w:eastAsiaTheme="minorEastAsia"/>
                <w:sz w:val="18"/>
                <w:szCs w:val="18"/>
              </w:rPr>
              <w:t>1.</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C81A53" w:rsidRDefault="00C81A53" w:rsidP="001E7E9A">
            <w:pPr>
              <w:widowControl w:val="0"/>
              <w:shd w:val="clear" w:color="auto" w:fill="FFFFFF"/>
              <w:tabs>
                <w:tab w:val="left" w:pos="1134"/>
              </w:tabs>
              <w:autoSpaceDE w:val="0"/>
              <w:autoSpaceDN w:val="0"/>
              <w:adjustRightInd w:val="0"/>
              <w:jc w:val="both"/>
              <w:rPr>
                <w:sz w:val="18"/>
                <w:szCs w:val="18"/>
                <w:lang w:val="uz-Cyrl-UZ"/>
              </w:rPr>
            </w:pPr>
            <w:r w:rsidRPr="00C81A53">
              <w:rPr>
                <w:sz w:val="18"/>
                <w:szCs w:val="18"/>
                <w:lang w:val="uz-Cyrl-UZ"/>
              </w:rPr>
              <w:t>“Мадад Инвест Банк” акциядорлик тижорат банки саноқ комиссияси аъзолари сони ва шахсий таркибини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C81A53" w:rsidRDefault="001C6E70" w:rsidP="00C45E51">
            <w:pPr>
              <w:ind w:left="-35"/>
              <w:jc w:val="center"/>
              <w:rPr>
                <w:sz w:val="18"/>
                <w:szCs w:val="18"/>
                <w:lang w:val="uz-Cyrl-UZ"/>
              </w:rPr>
            </w:pPr>
            <w:r w:rsidRPr="00C81A53">
              <w:rPr>
                <w:sz w:val="18"/>
                <w:szCs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C81A53" w:rsidRDefault="00C81A53" w:rsidP="00C45E51">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C6E70" w:rsidP="00C45E51">
            <w:pPr>
              <w:ind w:left="-35"/>
              <w:jc w:val="center"/>
              <w:rPr>
                <w:sz w:val="18"/>
              </w:rPr>
            </w:pPr>
            <w:r w:rsidRPr="000C2C30">
              <w:rPr>
                <w:sz w:val="18"/>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C6E70" w:rsidP="00C45E51">
            <w:pPr>
              <w:ind w:left="-35"/>
              <w:jc w:val="center"/>
              <w:rPr>
                <w:sz w:val="18"/>
              </w:rPr>
            </w:pPr>
            <w:r w:rsidRPr="000C2C30">
              <w:rPr>
                <w:sz w:val="18"/>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53FA9" w:rsidRPr="000C2C30" w:rsidRDefault="001C6E70" w:rsidP="00C45E51">
            <w:pPr>
              <w:ind w:left="-35"/>
              <w:jc w:val="center"/>
              <w:rPr>
                <w:sz w:val="18"/>
              </w:rPr>
            </w:pPr>
            <w:r w:rsidRPr="000C2C30">
              <w:rPr>
                <w:sz w:val="18"/>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53FA9" w:rsidRPr="000C2C30" w:rsidRDefault="001C6E70" w:rsidP="00C45E51">
            <w:pPr>
              <w:ind w:left="-35"/>
              <w:jc w:val="center"/>
              <w:rPr>
                <w:sz w:val="18"/>
              </w:rPr>
            </w:pPr>
            <w:r w:rsidRPr="000C2C30">
              <w:rPr>
                <w:sz w:val="18"/>
              </w:rPr>
              <w:t>0</w:t>
            </w:r>
          </w:p>
        </w:tc>
      </w:tr>
      <w:tr w:rsidR="00C81A53" w:rsidTr="00FF7ACB">
        <w:trPr>
          <w:trHeight w:val="490"/>
        </w:trPr>
        <w:tc>
          <w:tcPr>
            <w:tcW w:w="161" w:type="pct"/>
            <w:vMerge/>
            <w:tcBorders>
              <w:top w:val="nil"/>
              <w:left w:val="single" w:sz="8" w:space="0" w:color="auto"/>
              <w:bottom w:val="single" w:sz="8" w:space="0" w:color="auto"/>
              <w:right w:val="single" w:sz="8" w:space="0" w:color="auto"/>
            </w:tcBorders>
            <w:vAlign w:val="center"/>
            <w:hideMark/>
          </w:tcPr>
          <w:p w:rsidR="00C81A53" w:rsidRDefault="00C81A53" w:rsidP="00C81A53">
            <w:pPr>
              <w:rPr>
                <w:rFonts w:eastAsiaTheme="minorEastAsia"/>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9E6E7B"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2.</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widowControl w:val="0"/>
              <w:shd w:val="clear" w:color="auto" w:fill="FFFFFF"/>
              <w:tabs>
                <w:tab w:val="left" w:pos="1134"/>
              </w:tabs>
              <w:autoSpaceDE w:val="0"/>
              <w:autoSpaceDN w:val="0"/>
              <w:adjustRightInd w:val="0"/>
              <w:jc w:val="both"/>
              <w:rPr>
                <w:sz w:val="18"/>
                <w:szCs w:val="18"/>
                <w:lang w:val="uz-Cyrl-UZ"/>
              </w:rPr>
            </w:pPr>
            <w:r w:rsidRPr="00C81A53">
              <w:rPr>
                <w:sz w:val="18"/>
                <w:szCs w:val="18"/>
                <w:lang w:val="uz-Cyrl-UZ"/>
              </w:rPr>
              <w:t>“Мадад Инвест Банк” акциядорлик тижорат банки акциядорларининг навбатдан ташқари умумий йиғилиши регламентини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rPr>
            </w:pPr>
            <w:r w:rsidRPr="000C2C30">
              <w:rPr>
                <w:sz w:val="18"/>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rPr>
            </w:pPr>
            <w:r w:rsidRPr="000C2C30">
              <w:rPr>
                <w:sz w:val="18"/>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rPr>
            </w:pPr>
            <w:r w:rsidRPr="000C2C30">
              <w:rPr>
                <w:sz w:val="18"/>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rPr>
            </w:pPr>
            <w:r w:rsidRPr="000C2C30">
              <w:rPr>
                <w:sz w:val="18"/>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rPr>
            </w:pPr>
            <w:r w:rsidRPr="000C2C30">
              <w:rPr>
                <w:sz w:val="18"/>
              </w:rPr>
              <w:t>0</w:t>
            </w:r>
          </w:p>
        </w:tc>
      </w:tr>
      <w:tr w:rsidR="00C81A53" w:rsidRPr="004B56FF" w:rsidTr="00FF7ACB">
        <w:tc>
          <w:tcPr>
            <w:tcW w:w="161" w:type="pct"/>
            <w:vMerge/>
            <w:tcBorders>
              <w:top w:val="nil"/>
              <w:left w:val="single" w:sz="8" w:space="0" w:color="auto"/>
              <w:bottom w:val="single" w:sz="8" w:space="0" w:color="auto"/>
              <w:right w:val="single" w:sz="8" w:space="0" w:color="auto"/>
            </w:tcBorders>
            <w:vAlign w:val="center"/>
            <w:hideMark/>
          </w:tcPr>
          <w:p w:rsidR="00C81A53" w:rsidRPr="004B56FF" w:rsidRDefault="00C81A53" w:rsidP="00C81A53">
            <w:pPr>
              <w:rPr>
                <w:rFonts w:eastAsiaTheme="minorEastAsia"/>
                <w:sz w:val="2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6E54DA" w:rsidRDefault="00C81A53" w:rsidP="00C81A53">
            <w:pPr>
              <w:pStyle w:val="a4"/>
              <w:spacing w:before="0" w:beforeAutospacing="0" w:after="0" w:afterAutospacing="0"/>
              <w:jc w:val="center"/>
              <w:rPr>
                <w:rFonts w:eastAsiaTheme="minorEastAsia"/>
                <w:sz w:val="18"/>
                <w:szCs w:val="18"/>
              </w:rPr>
            </w:pPr>
            <w:r>
              <w:rPr>
                <w:rFonts w:eastAsiaTheme="minorEastAsia"/>
                <w:sz w:val="18"/>
                <w:szCs w:val="18"/>
                <w:lang w:val="uz-Cyrl-UZ"/>
              </w:rPr>
              <w:t>3</w:t>
            </w:r>
            <w:r w:rsidRPr="006E54DA">
              <w:rPr>
                <w:rFonts w:eastAsiaTheme="minorEastAsia"/>
                <w:sz w:val="18"/>
                <w:szCs w:val="18"/>
              </w:rPr>
              <w:t>.</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9E6E7B" w:rsidRDefault="00C81A53" w:rsidP="00C81A53">
            <w:pPr>
              <w:widowControl w:val="0"/>
              <w:shd w:val="clear" w:color="auto" w:fill="FFFFFF"/>
              <w:tabs>
                <w:tab w:val="left" w:pos="1134"/>
              </w:tabs>
              <w:autoSpaceDE w:val="0"/>
              <w:autoSpaceDN w:val="0"/>
              <w:adjustRightInd w:val="0"/>
              <w:jc w:val="both"/>
              <w:rPr>
                <w:sz w:val="18"/>
                <w:szCs w:val="18"/>
                <w:lang w:val="uz-Cyrl-UZ"/>
              </w:rPr>
            </w:pPr>
            <w:r w:rsidRPr="00C81A53">
              <w:rPr>
                <w:sz w:val="18"/>
                <w:szCs w:val="18"/>
                <w:lang w:val="uz-Cyrl-UZ"/>
              </w:rPr>
              <w:t>“Мадад Инвест Банк” акциядорлик тижорат банкининг янги таҳрирдаги Уставини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C81A53" w:rsidRPr="001E7E9A" w:rsidTr="00FF7ACB">
        <w:tc>
          <w:tcPr>
            <w:tcW w:w="161" w:type="pct"/>
            <w:vMerge/>
            <w:tcBorders>
              <w:top w:val="nil"/>
              <w:left w:val="single" w:sz="8" w:space="0" w:color="auto"/>
              <w:bottom w:val="single" w:sz="8" w:space="0" w:color="auto"/>
              <w:right w:val="single" w:sz="8" w:space="0" w:color="auto"/>
            </w:tcBorders>
            <w:vAlign w:val="center"/>
            <w:hideMark/>
          </w:tcPr>
          <w:p w:rsidR="00C81A53" w:rsidRPr="004B56FF" w:rsidRDefault="00C81A53" w:rsidP="00C81A53">
            <w:pPr>
              <w:rPr>
                <w:rFonts w:eastAsiaTheme="minorEastAsia"/>
                <w:sz w:val="2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4.</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widowControl w:val="0"/>
              <w:shd w:val="clear" w:color="auto" w:fill="FFFFFF"/>
              <w:tabs>
                <w:tab w:val="left" w:pos="1134"/>
              </w:tabs>
              <w:autoSpaceDE w:val="0"/>
              <w:autoSpaceDN w:val="0"/>
              <w:adjustRightInd w:val="0"/>
              <w:jc w:val="both"/>
              <w:rPr>
                <w:sz w:val="18"/>
                <w:szCs w:val="18"/>
                <w:lang w:val="uz-Cyrl-UZ"/>
              </w:rPr>
            </w:pPr>
            <w:r w:rsidRPr="00C81A53">
              <w:rPr>
                <w:sz w:val="18"/>
                <w:szCs w:val="18"/>
                <w:lang w:val="uz-Cyrl-UZ"/>
              </w:rPr>
              <w:t>“Мадад Инвест Банк” акциядорлик тижорат банкининг янги таҳрирдаги “Акциядорларнинг умумий йиғилиши тўғрисида”ги, “Кузатув кенгаши тўғрисида”ги, “Бошқаруви тўғрисида”ги ва “Тафтиш комиссияси тўғрисида”ги Низомларини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C81A53" w:rsidRPr="001E7E9A" w:rsidTr="00FF7ACB">
        <w:tc>
          <w:tcPr>
            <w:tcW w:w="161" w:type="pct"/>
            <w:vMerge/>
            <w:tcBorders>
              <w:top w:val="nil"/>
              <w:left w:val="single" w:sz="8" w:space="0" w:color="auto"/>
              <w:bottom w:val="single" w:sz="8" w:space="0" w:color="auto"/>
              <w:right w:val="single" w:sz="8" w:space="0" w:color="auto"/>
            </w:tcBorders>
            <w:vAlign w:val="center"/>
            <w:hideMark/>
          </w:tcPr>
          <w:p w:rsidR="00C81A53" w:rsidRPr="001E7E9A" w:rsidRDefault="00C81A53" w:rsidP="00C81A53">
            <w:pPr>
              <w:rPr>
                <w:rFonts w:eastAsiaTheme="minorEastAsia"/>
                <w:sz w:val="2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5.</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1E7E9A" w:rsidRDefault="00C81A53" w:rsidP="00C81A53">
            <w:pPr>
              <w:shd w:val="clear" w:color="auto" w:fill="FFFFFF"/>
              <w:tabs>
                <w:tab w:val="left" w:pos="0"/>
              </w:tabs>
              <w:jc w:val="both"/>
              <w:rPr>
                <w:bCs/>
                <w:sz w:val="18"/>
                <w:szCs w:val="18"/>
                <w:lang w:val="uz-Cyrl-UZ"/>
              </w:rPr>
            </w:pPr>
            <w:r w:rsidRPr="001E7E9A">
              <w:rPr>
                <w:bCs/>
                <w:sz w:val="18"/>
                <w:szCs w:val="18"/>
                <w:lang w:val="uz-Cyrl-UZ"/>
              </w:rPr>
              <w:t>“Микрокредитбанк” акциядорлик-тижорат банкининг “Кузатув кенгаши тўғрисида”ги низомига ўзгартиришлар киритиш ва “Кузатув кенгаши аъзоларига ҳақ тўлаш тартиби тўғрисидаги”ги низомини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C81A53" w:rsidRPr="001E7E9A" w:rsidTr="00FF7ACB">
        <w:tc>
          <w:tcPr>
            <w:tcW w:w="161" w:type="pct"/>
            <w:vMerge/>
            <w:tcBorders>
              <w:top w:val="nil"/>
              <w:left w:val="single" w:sz="8" w:space="0" w:color="auto"/>
              <w:bottom w:val="single" w:sz="8" w:space="0" w:color="auto"/>
              <w:right w:val="single" w:sz="8" w:space="0" w:color="auto"/>
            </w:tcBorders>
            <w:vAlign w:val="center"/>
            <w:hideMark/>
          </w:tcPr>
          <w:p w:rsidR="00C81A53" w:rsidRPr="001E7E9A" w:rsidRDefault="00C81A53" w:rsidP="00C81A53">
            <w:pPr>
              <w:rPr>
                <w:rFonts w:eastAsiaTheme="minorEastAsia"/>
                <w:sz w:val="2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6.</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1E7E9A" w:rsidRDefault="00C81A53" w:rsidP="00C81A53">
            <w:pPr>
              <w:shd w:val="clear" w:color="auto" w:fill="FFFFFF"/>
              <w:tabs>
                <w:tab w:val="left" w:pos="0"/>
              </w:tabs>
              <w:jc w:val="both"/>
              <w:rPr>
                <w:bCs/>
                <w:sz w:val="18"/>
                <w:szCs w:val="18"/>
                <w:lang w:val="uz-Cyrl-UZ"/>
              </w:rPr>
            </w:pPr>
            <w:r w:rsidRPr="00C81A53">
              <w:rPr>
                <w:bCs/>
                <w:sz w:val="18"/>
                <w:szCs w:val="18"/>
                <w:lang w:val="uz-Cyrl-UZ"/>
              </w:rPr>
              <w:t>“Мадад Инвест Банк” акциядорлик тижорат банкининг Кузатув кенгаши айрим аъзоларининг ваколатини муддатидан илгари тугатиш.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C81A53" w:rsidRPr="00C81A53" w:rsidTr="00FF7ACB">
        <w:tc>
          <w:tcPr>
            <w:tcW w:w="161" w:type="pct"/>
            <w:vMerge/>
            <w:tcBorders>
              <w:top w:val="nil"/>
              <w:left w:val="single" w:sz="8" w:space="0" w:color="auto"/>
              <w:bottom w:val="single" w:sz="8" w:space="0" w:color="auto"/>
              <w:right w:val="single" w:sz="8" w:space="0" w:color="auto"/>
            </w:tcBorders>
            <w:vAlign w:val="center"/>
            <w:hideMark/>
          </w:tcPr>
          <w:p w:rsidR="00C81A53" w:rsidRPr="001E7E9A" w:rsidRDefault="00C81A53" w:rsidP="00C81A53">
            <w:pPr>
              <w:rPr>
                <w:rFonts w:eastAsiaTheme="minorEastAsia"/>
                <w:sz w:val="2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8.</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shd w:val="clear" w:color="auto" w:fill="FFFFFF"/>
              <w:tabs>
                <w:tab w:val="left" w:pos="0"/>
              </w:tabs>
              <w:jc w:val="both"/>
              <w:rPr>
                <w:bCs/>
                <w:sz w:val="18"/>
                <w:szCs w:val="18"/>
                <w:lang w:val="uz-Cyrl-UZ"/>
              </w:rPr>
            </w:pPr>
            <w:r w:rsidRPr="00C81A53">
              <w:rPr>
                <w:bCs/>
                <w:sz w:val="18"/>
                <w:szCs w:val="18"/>
                <w:lang w:val="uz-Cyrl-UZ"/>
              </w:rPr>
              <w:t>“Мадад Инвест Банк” акциядорлик тижорат банкининг 2019 йилдаги фаолияти юзасидан мажбурий аудиторлик текшируви ўтказиш, аудиторлик ташкилоти ва унинг хизматига тўланадиган энг кўп ҳақ миқдорини белгилаш, шунингдек аудиторлик ташкилоти билан шартнома тузиш тўғрисида қарор қабул қилиш.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C81A53" w:rsidRPr="00C81A53" w:rsidTr="00FF7ACB">
        <w:tc>
          <w:tcPr>
            <w:tcW w:w="161" w:type="pct"/>
            <w:vMerge/>
            <w:tcBorders>
              <w:top w:val="nil"/>
              <w:left w:val="single" w:sz="8" w:space="0" w:color="auto"/>
              <w:bottom w:val="single" w:sz="8" w:space="0" w:color="auto"/>
              <w:right w:val="single" w:sz="8" w:space="0" w:color="auto"/>
            </w:tcBorders>
            <w:vAlign w:val="center"/>
            <w:hideMark/>
          </w:tcPr>
          <w:p w:rsidR="00C81A53" w:rsidRPr="001E7E9A" w:rsidRDefault="00C81A53" w:rsidP="00C81A53">
            <w:pPr>
              <w:rPr>
                <w:rFonts w:eastAsiaTheme="minorEastAsia"/>
                <w:sz w:val="2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Default="00C81A53" w:rsidP="00C81A53">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9.</w:t>
            </w:r>
          </w:p>
        </w:tc>
        <w:tc>
          <w:tcPr>
            <w:tcW w:w="233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shd w:val="clear" w:color="auto" w:fill="FFFFFF"/>
              <w:tabs>
                <w:tab w:val="left" w:pos="0"/>
              </w:tabs>
              <w:jc w:val="both"/>
              <w:rPr>
                <w:bCs/>
                <w:sz w:val="18"/>
                <w:szCs w:val="18"/>
                <w:lang w:val="uz-Cyrl-UZ"/>
              </w:rPr>
            </w:pPr>
            <w:r w:rsidRPr="00C81A53">
              <w:rPr>
                <w:bCs/>
                <w:sz w:val="18"/>
                <w:szCs w:val="18"/>
                <w:lang w:val="uz-Cyrl-UZ"/>
              </w:rPr>
              <w:t>“Мадад Инвест Банк” акциядорлик тижорат банкининг янги ташкилий тузилмасини тасдиқлаш.</w:t>
            </w:r>
          </w:p>
        </w:tc>
        <w:tc>
          <w:tcPr>
            <w:tcW w:w="27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100</w:t>
            </w:r>
          </w:p>
        </w:tc>
        <w:tc>
          <w:tcPr>
            <w:tcW w:w="494"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C81A53" w:rsidRDefault="00C81A53" w:rsidP="00C81A53">
            <w:pPr>
              <w:ind w:left="-35"/>
              <w:jc w:val="center"/>
              <w:rPr>
                <w:sz w:val="18"/>
                <w:szCs w:val="18"/>
                <w:lang w:val="uz-Cyrl-UZ"/>
              </w:rPr>
            </w:pPr>
            <w:r w:rsidRPr="00C81A53">
              <w:rPr>
                <w:sz w:val="18"/>
                <w:szCs w:val="18"/>
              </w:rPr>
              <w:t>15 835 000</w:t>
            </w:r>
          </w:p>
        </w:tc>
        <w:tc>
          <w:tcPr>
            <w:tcW w:w="277"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8"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277"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c>
          <w:tcPr>
            <w:tcW w:w="48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81A53" w:rsidRPr="000C2C30" w:rsidRDefault="00C81A53" w:rsidP="00C81A53">
            <w:pPr>
              <w:ind w:left="-35"/>
              <w:jc w:val="center"/>
              <w:rPr>
                <w:sz w:val="18"/>
                <w:lang w:val="uz-Cyrl-UZ"/>
              </w:rPr>
            </w:pPr>
            <w:r w:rsidRPr="000C2C30">
              <w:rPr>
                <w:sz w:val="18"/>
                <w:lang w:val="uz-Cyrl-UZ"/>
              </w:rPr>
              <w:t>0</w:t>
            </w:r>
          </w:p>
        </w:tc>
      </w:tr>
      <w:tr w:rsidR="001E7E9A" w:rsidRPr="00EE4534" w:rsidTr="00CD33F7">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4839"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rPr>
                <w:rFonts w:eastAsiaTheme="minorEastAsia"/>
                <w:sz w:val="18"/>
                <w:szCs w:val="18"/>
                <w:lang w:val="uz-Cyrl-UZ"/>
              </w:rPr>
            </w:pPr>
            <w:r w:rsidRPr="000C2C30">
              <w:rPr>
                <w:rFonts w:eastAsiaTheme="minorEastAsia"/>
                <w:sz w:val="18"/>
                <w:szCs w:val="18"/>
                <w:lang w:val="uz-Cyrl-UZ"/>
              </w:rPr>
              <w:t>Умумий йиғилиш томонидан қабул қилинган қарорларнинг тўлиқ баёни:</w:t>
            </w:r>
          </w:p>
        </w:tc>
      </w:tr>
      <w:tr w:rsidR="001E7E9A" w:rsidRPr="005A5828"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rPr>
            </w:pPr>
            <w:r w:rsidRPr="000C2C30">
              <w:rPr>
                <w:rFonts w:eastAsiaTheme="minorEastAsia"/>
                <w:sz w:val="18"/>
                <w:szCs w:val="18"/>
              </w:rPr>
              <w:t>1.</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1.1. “Мадад Инвест Банк” акциядорлик тижорат банкининг саноқ комиссияси 3 кишидан иборат таркибда 2019 йил якунлари бўйича акциядорларнинг навбатдаги йиллик умумий йиғилишига қадар тасдиқлансин: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1.Сайдуллаев Мухаммадюсуф Мухаммадумар ўгли – Методология булими Булим бошлиги;</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2. Каримова Муяссархон Мамирджановна – Амалиёт Бошқармаси Фронт-офис менеджери;</w:t>
            </w:r>
          </w:p>
          <w:p w:rsidR="001E7E9A" w:rsidRPr="001E7E9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3.Фозилжонов Нодиржон Фозилжон угли – Амалиёт Бошқармаси Фронт-офис менеджери.</w:t>
            </w:r>
          </w:p>
        </w:tc>
      </w:tr>
      <w:tr w:rsidR="001E7E9A" w:rsidRPr="004844DA"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185827" w:rsidRDefault="001E7E9A" w:rsidP="001E7E9A">
            <w:pPr>
              <w:pStyle w:val="a4"/>
              <w:spacing w:before="0" w:beforeAutospacing="0" w:after="0" w:afterAutospacing="0"/>
              <w:jc w:val="center"/>
              <w:rPr>
                <w:rFonts w:eastAsiaTheme="minorEastAsia"/>
                <w:sz w:val="18"/>
                <w:szCs w:val="18"/>
              </w:rPr>
            </w:pPr>
            <w:r w:rsidRPr="00185827">
              <w:rPr>
                <w:rFonts w:eastAsiaTheme="minorEastAsia"/>
                <w:sz w:val="18"/>
                <w:szCs w:val="18"/>
              </w:rPr>
              <w:t>2.</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xml:space="preserve">2.1. “Мадад Инвест Банк” акциядорлик тижорат банки акциядорларининг навбатдан ташқари умумий йиғилишининг </w:t>
            </w:r>
            <w:r w:rsidRPr="004844DA">
              <w:rPr>
                <w:sz w:val="18"/>
                <w:szCs w:val="18"/>
                <w:lang w:val="uz-Cyrl-UZ"/>
              </w:rPr>
              <w:lastRenderedPageBreak/>
              <w:t>регламенти қуйидагича тасдиқлансин: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w:t>
            </w:r>
            <w:r w:rsidRPr="004844DA">
              <w:rPr>
                <w:sz w:val="18"/>
                <w:szCs w:val="18"/>
                <w:lang w:val="uz-Cyrl-UZ"/>
              </w:rPr>
              <w:tab/>
              <w:t>асосий масалалар бўйича маърузалар – 10 дақиқагача;</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w:t>
            </w:r>
            <w:r w:rsidRPr="004844DA">
              <w:rPr>
                <w:sz w:val="18"/>
                <w:szCs w:val="18"/>
                <w:lang w:val="uz-Cyrl-UZ"/>
              </w:rPr>
              <w:tab/>
              <w:t>қўшимча маърузалар, мунозара ва муҳокамалар учун – 15 дақиқагача;</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w:t>
            </w:r>
            <w:r w:rsidRPr="004844DA">
              <w:rPr>
                <w:sz w:val="18"/>
                <w:szCs w:val="18"/>
                <w:lang w:val="uz-Cyrl-UZ"/>
              </w:rPr>
              <w:tab/>
              <w:t>саноқ комиссияси томонидан овоз бериш якунларини ҳисоблаб чиқилгунга қадар танаффус – 15 дақиқагача;</w:t>
            </w:r>
          </w:p>
          <w:p w:rsidR="001E7E9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w:t>
            </w:r>
            <w:r w:rsidRPr="004844DA">
              <w:rPr>
                <w:sz w:val="18"/>
                <w:szCs w:val="18"/>
                <w:lang w:val="uz-Cyrl-UZ"/>
              </w:rPr>
              <w:tab/>
              <w:t>овоз бериш якунларини эълон қилиш ва йиғилишни якунлаш учун – 15 дақиқагача.</w:t>
            </w:r>
          </w:p>
        </w:tc>
      </w:tr>
      <w:tr w:rsidR="001E7E9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lang w:val="uz-Cyrl-UZ"/>
              </w:rPr>
            </w:pPr>
            <w:r w:rsidRPr="000C2C30">
              <w:rPr>
                <w:rFonts w:eastAsiaTheme="minorEastAsia"/>
                <w:sz w:val="18"/>
                <w:szCs w:val="18"/>
                <w:lang w:val="uz-Cyrl-UZ"/>
              </w:rPr>
              <w:t>3.</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1E7E9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3.1 “Мадад Инвест Банк” акциядорлик тижорат банкининг Уставига иловага мувофиқ ўзгартишлар ва қўшимчалар киритилиб, янги таҳрирдаги Устави тасдиқлансин.</w:t>
            </w:r>
          </w:p>
        </w:tc>
      </w:tr>
      <w:tr w:rsidR="001E7E9A" w:rsidRPr="00EE4534" w:rsidTr="00FF7ACB">
        <w:trPr>
          <w:trHeight w:val="614"/>
        </w:trPr>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4.</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4.1. “Мадад Инвест Банк” акциядорлик тижорат банкининг янги таҳрирдаги “Акциядорларнинг умумий йиғилиши тўғрисида”ги, “Кузатув кенгаши тўғрисида”ги, “Бошқаруви тўғрисида”ги ва “Тафтиш комиссияси тўғрисида”ги Низомлари тасдиқлансин.</w:t>
            </w:r>
          </w:p>
        </w:tc>
      </w:tr>
      <w:tr w:rsidR="001E7E9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Default="001E7E9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5.</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1E7E9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5.1. “Мадад Инвест Банк” акциядорлик тижорат банкининг “Кузатув кенгаши аъзоларига ҳақ тўлаш ва ҳаражатларининг ўрнини қоплаш тартиби тўғрисидаги”ги Низоми тасдиқлансин.</w:t>
            </w:r>
          </w:p>
        </w:tc>
      </w:tr>
      <w:tr w:rsidR="001E7E9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Default="001E7E9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6.</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6.1. “Мадад Инвест Банк” акциядорлик тижорат банкининг Кузатув кенгаши аъзолари Б.И.Усманов ва О.Ф.Кадировларнинг ваколати муддатидан илгари тугатилсин.</w:t>
            </w:r>
          </w:p>
        </w:tc>
      </w:tr>
      <w:tr w:rsidR="001E7E9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Default="001E7E9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7.</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7.1. “Мадад Инвест Банк” акциядорлик тижорат банкининг ваколати муддатидан илгари тугатилган айрим Кузатув кенгаши аъзоларининг ўрнига қуйидаги янги Кузатув кенгаши аъзолари 2019 йил якунлари бўйича акциядорларнинг навбатдаги йиллик умумий йиғилишига қадар сайлансин: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xml:space="preserve">1. Мухитдинов </w:t>
            </w:r>
            <w:proofErr w:type="spellStart"/>
            <w:r w:rsidRPr="004844DA">
              <w:rPr>
                <w:sz w:val="18"/>
                <w:szCs w:val="18"/>
                <w:lang w:val="uz-Cyrl-UZ"/>
              </w:rPr>
              <w:t>Нуритдин</w:t>
            </w:r>
            <w:proofErr w:type="spellEnd"/>
            <w:r w:rsidRPr="004844DA">
              <w:rPr>
                <w:sz w:val="18"/>
                <w:szCs w:val="18"/>
                <w:lang w:val="uz-Cyrl-UZ"/>
              </w:rPr>
              <w:t xml:space="preserve"> </w:t>
            </w:r>
            <w:proofErr w:type="spellStart"/>
            <w:r w:rsidRPr="004844DA">
              <w:rPr>
                <w:sz w:val="18"/>
                <w:szCs w:val="18"/>
                <w:lang w:val="uz-Cyrl-UZ"/>
              </w:rPr>
              <w:t>Фахритдинович</w:t>
            </w:r>
            <w:proofErr w:type="spellEnd"/>
            <w:r w:rsidRPr="004844DA">
              <w:rPr>
                <w:sz w:val="18"/>
                <w:szCs w:val="18"/>
                <w:lang w:val="uz-Cyrl-UZ"/>
              </w:rPr>
              <w:t xml:space="preserve">, нафақада, </w:t>
            </w:r>
            <w:proofErr w:type="spellStart"/>
            <w:r w:rsidRPr="004844DA">
              <w:rPr>
                <w:sz w:val="18"/>
                <w:szCs w:val="18"/>
                <w:lang w:val="uz-Cyrl-UZ"/>
              </w:rPr>
              <w:t>Банкнинг</w:t>
            </w:r>
            <w:proofErr w:type="spellEnd"/>
            <w:r w:rsidRPr="004844DA">
              <w:rPr>
                <w:sz w:val="18"/>
                <w:szCs w:val="18"/>
                <w:lang w:val="uz-Cyrl-UZ"/>
              </w:rPr>
              <w:t xml:space="preserve"> </w:t>
            </w:r>
            <w:proofErr w:type="spellStart"/>
            <w:r w:rsidRPr="004844DA">
              <w:rPr>
                <w:sz w:val="18"/>
                <w:szCs w:val="18"/>
                <w:lang w:val="uz-Cyrl-UZ"/>
              </w:rPr>
              <w:t>акцияларига</w:t>
            </w:r>
            <w:proofErr w:type="spellEnd"/>
            <w:r w:rsidRPr="004844DA">
              <w:rPr>
                <w:sz w:val="18"/>
                <w:szCs w:val="18"/>
                <w:lang w:val="uz-Cyrl-UZ"/>
              </w:rPr>
              <w:t xml:space="preserve"> </w:t>
            </w:r>
            <w:proofErr w:type="spellStart"/>
            <w:r w:rsidRPr="004844DA">
              <w:rPr>
                <w:sz w:val="18"/>
                <w:szCs w:val="18"/>
                <w:lang w:val="uz-Cyrl-UZ"/>
              </w:rPr>
              <w:t>эга</w:t>
            </w:r>
            <w:proofErr w:type="spellEnd"/>
            <w:r w:rsidRPr="004844DA">
              <w:rPr>
                <w:sz w:val="18"/>
                <w:szCs w:val="18"/>
                <w:lang w:val="uz-Cyrl-UZ"/>
              </w:rPr>
              <w:t xml:space="preserve"> </w:t>
            </w:r>
            <w:proofErr w:type="spellStart"/>
            <w:r w:rsidRPr="004844DA">
              <w:rPr>
                <w:sz w:val="18"/>
                <w:szCs w:val="18"/>
                <w:lang w:val="uz-Cyrl-UZ"/>
              </w:rPr>
              <w:t>эмас</w:t>
            </w:r>
            <w:proofErr w:type="spellEnd"/>
            <w:r w:rsidRPr="004844DA">
              <w:rPr>
                <w:sz w:val="18"/>
                <w:szCs w:val="18"/>
                <w:lang w:val="uz-Cyrl-UZ"/>
              </w:rPr>
              <w:t>;</w:t>
            </w:r>
          </w:p>
          <w:p w:rsidR="001E7E9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2. Джураев Одил Хуснитдинович, “STEDI” МЧЖ  директори муовини, Банкнинг акцияларига эга эмас.</w:t>
            </w:r>
          </w:p>
        </w:tc>
      </w:tr>
      <w:tr w:rsidR="004844D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4844DA" w:rsidRPr="005A5828" w:rsidRDefault="004844D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Default="004844D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8.</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8.1. “Мадад Инвест Банк” акциядорлик тижорат банкининг 2019 йилдаги фаолияти юзасидан: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мажбурий аудиторлик текшируви ўтказилсин;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мажбурий аудиторлик текширувини ўтказувчи этиб “Grant Thornton” МЧЖ аудиторлик ташкилоти белгилансин;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мажбурий аудиторлик текшируви ўтказиш бўйича “Grant Thornton” МЧЖ аудиторлик ташкилоти хизматига тўланадиган энг кўп ҳақ миқдори 165.000.000 (Бир юз олтмиш беш миллион) сўм (қўшилган қиймат солиғи билан) миқдорида белгилансин;</w:t>
            </w:r>
          </w:p>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 Банк Бошқаруви мажбурий аудиторлик текшируви ўтказиш бўйича “Grant Thornton” МЧЖ аудиторлик ташкилоти билан шартнома тузсин.</w:t>
            </w:r>
          </w:p>
        </w:tc>
      </w:tr>
      <w:tr w:rsidR="004844DA" w:rsidRPr="00EE4534" w:rsidTr="00FF7ACB">
        <w:tc>
          <w:tcPr>
            <w:tcW w:w="161" w:type="pct"/>
            <w:vMerge/>
            <w:tcBorders>
              <w:top w:val="nil"/>
              <w:left w:val="single" w:sz="8" w:space="0" w:color="auto"/>
              <w:bottom w:val="single" w:sz="8" w:space="0" w:color="auto"/>
              <w:right w:val="single" w:sz="8" w:space="0" w:color="auto"/>
            </w:tcBorders>
            <w:vAlign w:val="center"/>
            <w:hideMark/>
          </w:tcPr>
          <w:p w:rsidR="004844DA" w:rsidRPr="005A5828" w:rsidRDefault="004844DA" w:rsidP="001E7E9A">
            <w:pPr>
              <w:rPr>
                <w:rFonts w:eastAsiaTheme="minorEastAsia"/>
                <w:sz w:val="18"/>
                <w:szCs w:val="18"/>
                <w:lang w:val="uz-Cyrl-UZ"/>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Default="004844DA" w:rsidP="001E7E9A">
            <w:pPr>
              <w:pStyle w:val="a4"/>
              <w:spacing w:before="0" w:beforeAutospacing="0" w:after="0" w:afterAutospacing="0"/>
              <w:jc w:val="center"/>
              <w:rPr>
                <w:rFonts w:eastAsiaTheme="minorEastAsia"/>
                <w:sz w:val="18"/>
                <w:szCs w:val="18"/>
                <w:lang w:val="uz-Cyrl-UZ"/>
              </w:rPr>
            </w:pPr>
            <w:r>
              <w:rPr>
                <w:rFonts w:eastAsiaTheme="minorEastAsia"/>
                <w:sz w:val="18"/>
                <w:szCs w:val="18"/>
                <w:lang w:val="uz-Cyrl-UZ"/>
              </w:rPr>
              <w:t>9.</w:t>
            </w:r>
          </w:p>
        </w:tc>
        <w:tc>
          <w:tcPr>
            <w:tcW w:w="4635"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844DA" w:rsidRPr="004844DA" w:rsidRDefault="004844DA" w:rsidP="004844DA">
            <w:pPr>
              <w:pStyle w:val="a5"/>
              <w:shd w:val="clear" w:color="auto" w:fill="FFFFFF"/>
              <w:tabs>
                <w:tab w:val="left" w:pos="220"/>
                <w:tab w:val="left" w:pos="1134"/>
              </w:tabs>
              <w:ind w:left="0"/>
              <w:jc w:val="both"/>
              <w:rPr>
                <w:sz w:val="18"/>
                <w:szCs w:val="18"/>
                <w:lang w:val="uz-Cyrl-UZ"/>
              </w:rPr>
            </w:pPr>
            <w:r w:rsidRPr="004844DA">
              <w:rPr>
                <w:sz w:val="18"/>
                <w:szCs w:val="18"/>
                <w:lang w:val="uz-Cyrl-UZ"/>
              </w:rPr>
              <w:t>9.1. “Мадад Инвест Банк” акциядорлик тижорат банкининг янги ташкилий тузилмаси тасдиқлансин.</w:t>
            </w:r>
          </w:p>
        </w:tc>
      </w:tr>
      <w:tr w:rsidR="001E7E9A" w:rsidRPr="001F309A" w:rsidTr="001F309A">
        <w:trPr>
          <w:trHeight w:val="255"/>
        </w:trPr>
        <w:tc>
          <w:tcPr>
            <w:tcW w:w="161" w:type="pct"/>
            <w:vMerge/>
            <w:tcBorders>
              <w:top w:val="nil"/>
              <w:left w:val="single" w:sz="8" w:space="0" w:color="auto"/>
              <w:bottom w:val="single" w:sz="8" w:space="0" w:color="auto"/>
              <w:right w:val="single" w:sz="8" w:space="0" w:color="auto"/>
            </w:tcBorders>
            <w:vAlign w:val="center"/>
            <w:hideMark/>
          </w:tcPr>
          <w:p w:rsidR="001E7E9A" w:rsidRPr="001E7E9A" w:rsidRDefault="001E7E9A" w:rsidP="001E7E9A">
            <w:pPr>
              <w:rPr>
                <w:rFonts w:eastAsiaTheme="minorEastAsia"/>
                <w:sz w:val="18"/>
                <w:szCs w:val="18"/>
                <w:lang w:val="uz-Cyrl-UZ"/>
              </w:rPr>
            </w:pPr>
          </w:p>
        </w:tc>
        <w:tc>
          <w:tcPr>
            <w:tcW w:w="4839" w:type="pct"/>
            <w:gridSpan w:val="13"/>
            <w:tcBorders>
              <w:top w:val="single" w:sz="4" w:space="0" w:color="auto"/>
              <w:left w:val="nil"/>
              <w:bottom w:val="single" w:sz="8" w:space="0" w:color="auto"/>
              <w:right w:val="single" w:sz="4" w:space="0" w:color="auto"/>
            </w:tcBorders>
            <w:shd w:val="clear" w:color="auto" w:fill="FFFFFF"/>
            <w:tcMar>
              <w:top w:w="0" w:type="dxa"/>
              <w:left w:w="57" w:type="dxa"/>
              <w:bottom w:w="0" w:type="dxa"/>
              <w:right w:w="57" w:type="dxa"/>
            </w:tcMar>
            <w:vAlign w:val="center"/>
            <w:hideMark/>
          </w:tcPr>
          <w:p w:rsidR="001E7E9A" w:rsidRPr="001F309A" w:rsidRDefault="001E7E9A" w:rsidP="001E7E9A">
            <w:pPr>
              <w:pStyle w:val="a4"/>
              <w:spacing w:before="0" w:beforeAutospacing="0" w:after="0" w:afterAutospacing="0"/>
              <w:rPr>
                <w:rFonts w:eastAsiaTheme="minorEastAsia"/>
                <w:sz w:val="18"/>
                <w:szCs w:val="18"/>
              </w:rPr>
            </w:pPr>
            <w:proofErr w:type="spellStart"/>
            <w:r w:rsidRPr="001F309A">
              <w:rPr>
                <w:sz w:val="18"/>
                <w:szCs w:val="18"/>
              </w:rPr>
              <w:t>Кузатув</w:t>
            </w:r>
            <w:proofErr w:type="spellEnd"/>
            <w:r w:rsidRPr="001F309A">
              <w:rPr>
                <w:sz w:val="18"/>
                <w:szCs w:val="18"/>
              </w:rPr>
              <w:t xml:space="preserve"> </w:t>
            </w:r>
            <w:proofErr w:type="spellStart"/>
            <w:r w:rsidRPr="001F309A">
              <w:rPr>
                <w:sz w:val="18"/>
                <w:szCs w:val="18"/>
              </w:rPr>
              <w:t>кенгаши</w:t>
            </w:r>
            <w:proofErr w:type="spellEnd"/>
            <w:r w:rsidRPr="001F309A">
              <w:rPr>
                <w:sz w:val="18"/>
                <w:szCs w:val="18"/>
              </w:rPr>
              <w:t xml:space="preserve"> </w:t>
            </w:r>
            <w:proofErr w:type="spellStart"/>
            <w:r w:rsidRPr="001F309A">
              <w:rPr>
                <w:sz w:val="18"/>
                <w:szCs w:val="18"/>
              </w:rPr>
              <w:t>аъзоларини</w:t>
            </w:r>
            <w:proofErr w:type="spellEnd"/>
            <w:r w:rsidRPr="001F309A">
              <w:rPr>
                <w:sz w:val="18"/>
                <w:szCs w:val="18"/>
              </w:rPr>
              <w:t xml:space="preserve"> </w:t>
            </w:r>
            <w:proofErr w:type="spellStart"/>
            <w:r w:rsidRPr="001F309A">
              <w:rPr>
                <w:sz w:val="18"/>
                <w:szCs w:val="18"/>
              </w:rPr>
              <w:t>сайлаш</w:t>
            </w:r>
            <w:proofErr w:type="spellEnd"/>
            <w:r w:rsidRPr="001F309A">
              <w:rPr>
                <w:sz w:val="18"/>
                <w:szCs w:val="18"/>
              </w:rPr>
              <w:t>:</w:t>
            </w:r>
          </w:p>
        </w:tc>
      </w:tr>
      <w:tr w:rsidR="001E7E9A" w:rsidRPr="005A5828" w:rsidTr="001F309A">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rPr>
            </w:pPr>
          </w:p>
        </w:tc>
        <w:tc>
          <w:tcPr>
            <w:tcW w:w="4839"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rPr>
                <w:rFonts w:eastAsiaTheme="minorEastAsia"/>
                <w:sz w:val="18"/>
                <w:szCs w:val="18"/>
              </w:rPr>
            </w:pPr>
            <w:proofErr w:type="spellStart"/>
            <w:r w:rsidRPr="000C2C30">
              <w:rPr>
                <w:rFonts w:eastAsiaTheme="minorEastAsia"/>
                <w:sz w:val="18"/>
                <w:szCs w:val="18"/>
              </w:rPr>
              <w:t>Кандидатлар</w:t>
            </w:r>
            <w:proofErr w:type="spellEnd"/>
            <w:r w:rsidRPr="000C2C30">
              <w:rPr>
                <w:rFonts w:eastAsiaTheme="minorEastAsia"/>
                <w:sz w:val="18"/>
                <w:szCs w:val="18"/>
              </w:rPr>
              <w:t xml:space="preserve"> тўғрисида </w:t>
            </w:r>
            <w:proofErr w:type="spellStart"/>
            <w:r w:rsidRPr="000C2C30">
              <w:rPr>
                <w:rFonts w:eastAsiaTheme="minorEastAsia"/>
                <w:sz w:val="18"/>
                <w:szCs w:val="18"/>
              </w:rPr>
              <w:t>маълумот</w:t>
            </w:r>
            <w:proofErr w:type="spellEnd"/>
          </w:p>
        </w:tc>
      </w:tr>
      <w:tr w:rsidR="001E7E9A" w:rsidRPr="005A5828" w:rsidTr="00FF7ACB">
        <w:trPr>
          <w:trHeight w:val="319"/>
        </w:trPr>
        <w:tc>
          <w:tcPr>
            <w:tcW w:w="161" w:type="pct"/>
            <w:vMerge/>
            <w:tcBorders>
              <w:top w:val="nil"/>
              <w:left w:val="single" w:sz="8" w:space="0" w:color="auto"/>
              <w:bottom w:val="single" w:sz="8" w:space="0" w:color="auto"/>
              <w:right w:val="single" w:sz="8" w:space="0" w:color="auto"/>
            </w:tcBorders>
            <w:vAlign w:val="center"/>
            <w:hideMark/>
          </w:tcPr>
          <w:p w:rsidR="001E7E9A" w:rsidRPr="005A5828" w:rsidRDefault="001E7E9A" w:rsidP="001E7E9A">
            <w:pPr>
              <w:rPr>
                <w:rFonts w:eastAsiaTheme="minorEastAsia"/>
                <w:sz w:val="18"/>
                <w:szCs w:val="1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2E5CFC" w:rsidRDefault="001E7E9A" w:rsidP="001E7E9A">
            <w:pPr>
              <w:autoSpaceDE w:val="0"/>
              <w:autoSpaceDN w:val="0"/>
              <w:adjustRightInd w:val="0"/>
              <w:jc w:val="center"/>
              <w:rPr>
                <w:rFonts w:eastAsiaTheme="minorHAnsi"/>
                <w:b/>
                <w:bCs/>
                <w:sz w:val="18"/>
                <w:szCs w:val="18"/>
                <w:lang w:eastAsia="en-US"/>
              </w:rPr>
            </w:pPr>
            <w:r w:rsidRPr="002E5CFC">
              <w:rPr>
                <w:rFonts w:eastAsiaTheme="minorHAnsi"/>
                <w:b/>
                <w:bCs/>
                <w:sz w:val="18"/>
                <w:szCs w:val="18"/>
                <w:lang w:eastAsia="en-US"/>
              </w:rPr>
              <w:t>Т/</w:t>
            </w:r>
            <w:proofErr w:type="spellStart"/>
            <w:proofErr w:type="gramStart"/>
            <w:r w:rsidRPr="002E5CFC">
              <w:rPr>
                <w:rFonts w:eastAsiaTheme="minorHAnsi"/>
                <w:b/>
                <w:bCs/>
                <w:sz w:val="18"/>
                <w:szCs w:val="18"/>
                <w:lang w:eastAsia="en-US"/>
              </w:rPr>
              <w:t>р</w:t>
            </w:r>
            <w:proofErr w:type="spellEnd"/>
            <w:proofErr w:type="gramEnd"/>
          </w:p>
        </w:tc>
        <w:tc>
          <w:tcPr>
            <w:tcW w:w="131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rPr>
            </w:pPr>
            <w:r w:rsidRPr="000C2C30">
              <w:rPr>
                <w:rFonts w:eastAsiaTheme="minorEastAsia"/>
                <w:b/>
                <w:bCs/>
                <w:sz w:val="18"/>
                <w:szCs w:val="18"/>
              </w:rPr>
              <w:t>Ф.И.Ш.</w:t>
            </w:r>
          </w:p>
        </w:tc>
        <w:tc>
          <w:tcPr>
            <w:tcW w:w="137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601303" w:rsidRDefault="001E7E9A" w:rsidP="002E5CFC">
            <w:pPr>
              <w:pStyle w:val="a4"/>
              <w:spacing w:before="0" w:beforeAutospacing="0" w:after="0" w:afterAutospacing="0"/>
              <w:jc w:val="center"/>
              <w:rPr>
                <w:rFonts w:eastAsiaTheme="minorEastAsia"/>
                <w:sz w:val="18"/>
                <w:szCs w:val="18"/>
                <w:lang w:val="uz-Cyrl-UZ"/>
              </w:rPr>
            </w:pPr>
            <w:proofErr w:type="spellStart"/>
            <w:r w:rsidRPr="000C2C30">
              <w:rPr>
                <w:rFonts w:eastAsiaTheme="minorEastAsia"/>
                <w:b/>
                <w:bCs/>
                <w:sz w:val="18"/>
                <w:szCs w:val="18"/>
              </w:rPr>
              <w:t>Иш</w:t>
            </w:r>
            <w:proofErr w:type="spellEnd"/>
            <w:r w:rsidRPr="000C2C30">
              <w:rPr>
                <w:rFonts w:eastAsiaTheme="minorEastAsia"/>
                <w:b/>
                <w:bCs/>
                <w:sz w:val="18"/>
                <w:szCs w:val="18"/>
              </w:rPr>
              <w:t xml:space="preserve"> </w:t>
            </w:r>
            <w:proofErr w:type="spellStart"/>
            <w:r w:rsidRPr="000C2C30">
              <w:rPr>
                <w:rFonts w:eastAsiaTheme="minorEastAsia"/>
                <w:b/>
                <w:bCs/>
                <w:sz w:val="18"/>
                <w:szCs w:val="18"/>
              </w:rPr>
              <w:t>жойи</w:t>
            </w:r>
            <w:proofErr w:type="spellEnd"/>
          </w:p>
        </w:tc>
        <w:tc>
          <w:tcPr>
            <w:tcW w:w="69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rPr>
            </w:pPr>
            <w:r>
              <w:rPr>
                <w:rFonts w:eastAsiaTheme="minorEastAsia"/>
                <w:b/>
                <w:bCs/>
                <w:sz w:val="18"/>
                <w:szCs w:val="18"/>
                <w:lang w:val="uz-Cyrl-UZ"/>
              </w:rPr>
              <w:t>Лавозими</w:t>
            </w:r>
          </w:p>
        </w:tc>
        <w:tc>
          <w:tcPr>
            <w:tcW w:w="766"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E7E9A" w:rsidRPr="00CD33F7" w:rsidRDefault="001E7E9A" w:rsidP="001E7E9A">
            <w:pPr>
              <w:pStyle w:val="a4"/>
              <w:spacing w:before="0" w:beforeAutospacing="0" w:after="0" w:afterAutospacing="0"/>
              <w:jc w:val="center"/>
              <w:rPr>
                <w:rFonts w:eastAsiaTheme="minorEastAsia"/>
                <w:sz w:val="18"/>
                <w:szCs w:val="18"/>
                <w:lang w:val="uz-Cyrl-UZ"/>
              </w:rPr>
            </w:pPr>
            <w:proofErr w:type="spellStart"/>
            <w:r w:rsidRPr="00CD33F7">
              <w:rPr>
                <w:rFonts w:eastAsiaTheme="minorEastAsia"/>
                <w:b/>
                <w:bCs/>
                <w:sz w:val="18"/>
                <w:szCs w:val="18"/>
              </w:rPr>
              <w:t>Тегишли</w:t>
            </w:r>
            <w:proofErr w:type="spellEnd"/>
            <w:r w:rsidRPr="00CD33F7">
              <w:rPr>
                <w:rFonts w:eastAsiaTheme="minorEastAsia"/>
                <w:b/>
                <w:bCs/>
                <w:sz w:val="18"/>
                <w:szCs w:val="18"/>
              </w:rPr>
              <w:t xml:space="preserve"> </w:t>
            </w:r>
            <w:proofErr w:type="spellStart"/>
            <w:r w:rsidRPr="00CD33F7">
              <w:rPr>
                <w:rFonts w:eastAsiaTheme="minorEastAsia"/>
                <w:b/>
                <w:bCs/>
                <w:sz w:val="18"/>
                <w:szCs w:val="18"/>
              </w:rPr>
              <w:t>акциялар</w:t>
            </w:r>
            <w:proofErr w:type="spellEnd"/>
            <w:r>
              <w:rPr>
                <w:rFonts w:eastAsiaTheme="minorEastAsia"/>
                <w:b/>
                <w:bCs/>
                <w:sz w:val="18"/>
                <w:szCs w:val="18"/>
              </w:rPr>
              <w:t xml:space="preserve"> </w:t>
            </w:r>
            <w:proofErr w:type="gramStart"/>
            <w:r w:rsidRPr="00CD33F7">
              <w:rPr>
                <w:rFonts w:eastAsiaTheme="minorEastAsia"/>
                <w:b/>
                <w:sz w:val="18"/>
                <w:szCs w:val="18"/>
                <w:lang w:val="uz-Cyrl-UZ"/>
              </w:rPr>
              <w:t>тури</w:t>
            </w:r>
            <w:proofErr w:type="gramEnd"/>
            <w:r w:rsidRPr="00CD33F7">
              <w:rPr>
                <w:rFonts w:eastAsiaTheme="minorEastAsia"/>
                <w:b/>
                <w:sz w:val="18"/>
                <w:szCs w:val="18"/>
                <w:lang w:val="uz-Cyrl-UZ"/>
              </w:rPr>
              <w:t xml:space="preserve"> ва сони</w:t>
            </w:r>
          </w:p>
        </w:tc>
        <w:tc>
          <w:tcPr>
            <w:tcW w:w="48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1E7E9A" w:rsidRPr="000C2C30" w:rsidRDefault="001E7E9A" w:rsidP="001E7E9A">
            <w:pPr>
              <w:pStyle w:val="a4"/>
              <w:spacing w:before="0" w:beforeAutospacing="0" w:after="0" w:afterAutospacing="0"/>
              <w:jc w:val="center"/>
              <w:rPr>
                <w:rFonts w:eastAsiaTheme="minorEastAsia"/>
                <w:sz w:val="18"/>
                <w:szCs w:val="18"/>
              </w:rPr>
            </w:pPr>
            <w:proofErr w:type="spellStart"/>
            <w:r w:rsidRPr="000C2C30">
              <w:rPr>
                <w:rFonts w:eastAsiaTheme="minorEastAsia"/>
                <w:b/>
                <w:bCs/>
                <w:sz w:val="18"/>
                <w:szCs w:val="18"/>
              </w:rPr>
              <w:t>Овозлар</w:t>
            </w:r>
            <w:proofErr w:type="spellEnd"/>
            <w:r w:rsidRPr="000C2C30">
              <w:rPr>
                <w:rFonts w:eastAsiaTheme="minorEastAsia"/>
                <w:b/>
                <w:bCs/>
                <w:sz w:val="18"/>
                <w:szCs w:val="18"/>
              </w:rPr>
              <w:t xml:space="preserve"> сони</w:t>
            </w:r>
          </w:p>
        </w:tc>
      </w:tr>
      <w:tr w:rsidR="00FF7ACB" w:rsidRPr="005A5828" w:rsidTr="00FF7ACB">
        <w:trPr>
          <w:trHeight w:val="319"/>
        </w:trPr>
        <w:tc>
          <w:tcPr>
            <w:tcW w:w="161" w:type="pct"/>
            <w:vMerge/>
            <w:tcBorders>
              <w:top w:val="nil"/>
              <w:left w:val="single" w:sz="8" w:space="0" w:color="auto"/>
              <w:bottom w:val="single" w:sz="8" w:space="0" w:color="auto"/>
              <w:right w:val="single" w:sz="8" w:space="0" w:color="auto"/>
            </w:tcBorders>
            <w:vAlign w:val="center"/>
            <w:hideMark/>
          </w:tcPr>
          <w:p w:rsidR="00FF7ACB" w:rsidRPr="005A5828" w:rsidRDefault="00FF7ACB" w:rsidP="00FF7ACB">
            <w:pPr>
              <w:rPr>
                <w:rFonts w:eastAsiaTheme="minorEastAsia"/>
                <w:sz w:val="18"/>
                <w:szCs w:val="1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FF7ACB" w:rsidRDefault="00FF7ACB" w:rsidP="00FF7ACB">
            <w:pPr>
              <w:autoSpaceDE w:val="0"/>
              <w:autoSpaceDN w:val="0"/>
              <w:adjustRightInd w:val="0"/>
              <w:jc w:val="center"/>
              <w:rPr>
                <w:rFonts w:eastAsiaTheme="minorHAnsi"/>
                <w:bCs/>
                <w:sz w:val="18"/>
                <w:szCs w:val="18"/>
                <w:lang w:val="uz-Cyrl-UZ" w:eastAsia="en-US"/>
              </w:rPr>
            </w:pPr>
            <w:r w:rsidRPr="00FF7ACB">
              <w:rPr>
                <w:rFonts w:eastAsiaTheme="minorHAnsi"/>
                <w:bCs/>
                <w:sz w:val="18"/>
                <w:szCs w:val="18"/>
                <w:lang w:val="uz-Cyrl-UZ" w:eastAsia="en-US"/>
              </w:rPr>
              <w:t>1.</w:t>
            </w:r>
          </w:p>
        </w:tc>
        <w:tc>
          <w:tcPr>
            <w:tcW w:w="131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7ACB" w:rsidRPr="00FF7ACB" w:rsidRDefault="00FF7ACB" w:rsidP="00FF7ACB">
            <w:pPr>
              <w:pStyle w:val="a5"/>
              <w:shd w:val="clear" w:color="auto" w:fill="FFFFFF"/>
              <w:tabs>
                <w:tab w:val="left" w:pos="220"/>
                <w:tab w:val="left" w:pos="1134"/>
              </w:tabs>
              <w:ind w:left="0"/>
              <w:jc w:val="both"/>
              <w:rPr>
                <w:sz w:val="18"/>
                <w:szCs w:val="18"/>
                <w:lang w:val="uz-Cyrl-UZ"/>
              </w:rPr>
            </w:pPr>
            <w:r w:rsidRPr="00FF7ACB">
              <w:rPr>
                <w:sz w:val="18"/>
                <w:szCs w:val="18"/>
                <w:lang w:val="uz-Cyrl-UZ"/>
              </w:rPr>
              <w:t>Мухитдинов Нуритдин Фахритдинович</w:t>
            </w:r>
          </w:p>
        </w:tc>
        <w:tc>
          <w:tcPr>
            <w:tcW w:w="137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FF7ACB" w:rsidRDefault="00FF7ACB" w:rsidP="00FF7ACB">
            <w:pPr>
              <w:pStyle w:val="a4"/>
              <w:spacing w:before="0" w:beforeAutospacing="0" w:after="0" w:afterAutospacing="0"/>
              <w:jc w:val="center"/>
              <w:rPr>
                <w:rFonts w:eastAsiaTheme="minorEastAsia"/>
                <w:b/>
                <w:bCs/>
                <w:sz w:val="18"/>
                <w:szCs w:val="18"/>
                <w:lang w:val="uz-Cyrl-UZ"/>
              </w:rPr>
            </w:pPr>
            <w:r>
              <w:rPr>
                <w:sz w:val="18"/>
                <w:szCs w:val="18"/>
                <w:lang w:val="uz-Cyrl-UZ"/>
              </w:rPr>
              <w:t>Н</w:t>
            </w:r>
            <w:r w:rsidRPr="00FF7ACB">
              <w:rPr>
                <w:sz w:val="18"/>
                <w:szCs w:val="18"/>
                <w:lang w:val="uz-Cyrl-UZ"/>
              </w:rPr>
              <w:t>афақада</w:t>
            </w:r>
          </w:p>
        </w:tc>
        <w:tc>
          <w:tcPr>
            <w:tcW w:w="69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Default="00FF7ACB" w:rsidP="00FF7ACB">
            <w:pPr>
              <w:pStyle w:val="a4"/>
              <w:spacing w:before="0" w:beforeAutospacing="0" w:after="0" w:afterAutospacing="0"/>
              <w:jc w:val="center"/>
              <w:rPr>
                <w:rFonts w:eastAsiaTheme="minorEastAsia"/>
                <w:b/>
                <w:bCs/>
                <w:sz w:val="18"/>
                <w:szCs w:val="18"/>
                <w:lang w:val="uz-Cyrl-UZ"/>
              </w:rPr>
            </w:pPr>
          </w:p>
        </w:tc>
        <w:tc>
          <w:tcPr>
            <w:tcW w:w="41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2E5CFC" w:rsidRDefault="00FF7ACB" w:rsidP="00FF7ACB">
            <w:pPr>
              <w:pStyle w:val="a4"/>
              <w:spacing w:before="0" w:beforeAutospacing="0" w:after="0" w:afterAutospacing="0"/>
              <w:jc w:val="center"/>
              <w:rPr>
                <w:rFonts w:eastAsiaTheme="minorEastAsia"/>
                <w:bCs/>
                <w:sz w:val="18"/>
                <w:szCs w:val="18"/>
                <w:lang w:val="uz-Cyrl-UZ"/>
              </w:rPr>
            </w:pPr>
            <w:r w:rsidRPr="002E5CFC">
              <w:rPr>
                <w:rFonts w:eastAsiaTheme="minorEastAsia"/>
                <w:bCs/>
                <w:sz w:val="18"/>
                <w:szCs w:val="18"/>
                <w:lang w:val="uz-Cyrl-UZ"/>
              </w:rPr>
              <w:t>-</w:t>
            </w:r>
          </w:p>
        </w:tc>
        <w:tc>
          <w:tcPr>
            <w:tcW w:w="350" w:type="pct"/>
            <w:gridSpan w:val="2"/>
            <w:tcBorders>
              <w:top w:val="nil"/>
              <w:left w:val="nil"/>
              <w:bottom w:val="single" w:sz="8" w:space="0" w:color="auto"/>
              <w:right w:val="single" w:sz="8" w:space="0" w:color="auto"/>
            </w:tcBorders>
            <w:shd w:val="clear" w:color="auto" w:fill="FFFFFF"/>
            <w:vAlign w:val="center"/>
          </w:tcPr>
          <w:p w:rsidR="00FF7ACB" w:rsidRPr="002E5CFC" w:rsidRDefault="00FF7ACB" w:rsidP="00FF7ACB">
            <w:pPr>
              <w:pStyle w:val="a4"/>
              <w:spacing w:before="0" w:beforeAutospacing="0" w:after="0" w:afterAutospacing="0"/>
              <w:jc w:val="center"/>
              <w:rPr>
                <w:rFonts w:eastAsiaTheme="minorEastAsia"/>
                <w:bCs/>
                <w:sz w:val="18"/>
                <w:szCs w:val="18"/>
                <w:lang w:val="uz-Cyrl-UZ"/>
              </w:rPr>
            </w:pPr>
            <w:r w:rsidRPr="002E5CFC">
              <w:rPr>
                <w:rFonts w:eastAsiaTheme="minorEastAsia"/>
                <w:bCs/>
                <w:sz w:val="18"/>
                <w:szCs w:val="18"/>
                <w:lang w:val="uz-Cyrl-UZ"/>
              </w:rPr>
              <w:t>0</w:t>
            </w:r>
          </w:p>
        </w:tc>
        <w:tc>
          <w:tcPr>
            <w:tcW w:w="48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FF7ACB" w:rsidRPr="000C2C30" w:rsidRDefault="00FF7ACB" w:rsidP="00FF7ACB">
            <w:pPr>
              <w:pStyle w:val="a4"/>
              <w:spacing w:before="0" w:beforeAutospacing="0" w:after="0" w:afterAutospacing="0"/>
              <w:jc w:val="center"/>
              <w:rPr>
                <w:rFonts w:eastAsiaTheme="minorEastAsia"/>
                <w:b/>
                <w:bCs/>
                <w:sz w:val="18"/>
                <w:szCs w:val="18"/>
              </w:rPr>
            </w:pPr>
            <w:r w:rsidRPr="00C81A53">
              <w:rPr>
                <w:sz w:val="18"/>
                <w:szCs w:val="18"/>
              </w:rPr>
              <w:t>15 835 000</w:t>
            </w:r>
          </w:p>
        </w:tc>
      </w:tr>
      <w:tr w:rsidR="00FF7ACB" w:rsidRPr="005A5828" w:rsidTr="00FF7ACB">
        <w:trPr>
          <w:trHeight w:val="191"/>
        </w:trPr>
        <w:tc>
          <w:tcPr>
            <w:tcW w:w="161" w:type="pct"/>
            <w:vMerge/>
            <w:tcBorders>
              <w:top w:val="nil"/>
              <w:left w:val="single" w:sz="8" w:space="0" w:color="auto"/>
              <w:bottom w:val="single" w:sz="8" w:space="0" w:color="auto"/>
              <w:right w:val="single" w:sz="8" w:space="0" w:color="auto"/>
            </w:tcBorders>
            <w:vAlign w:val="center"/>
            <w:hideMark/>
          </w:tcPr>
          <w:p w:rsidR="00FF7ACB" w:rsidRPr="005A5828" w:rsidRDefault="00FF7ACB" w:rsidP="00FF7ACB">
            <w:pPr>
              <w:rPr>
                <w:rFonts w:eastAsiaTheme="minorEastAsia"/>
                <w:sz w:val="18"/>
                <w:szCs w:val="18"/>
              </w:rPr>
            </w:pPr>
          </w:p>
        </w:tc>
        <w:tc>
          <w:tcPr>
            <w:tcW w:w="2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2E5CFC" w:rsidRDefault="00FF7ACB" w:rsidP="00FF7ACB">
            <w:pPr>
              <w:jc w:val="center"/>
              <w:rPr>
                <w:sz w:val="18"/>
                <w:szCs w:val="18"/>
                <w:lang w:val="uz-Cyrl-UZ"/>
              </w:rPr>
            </w:pPr>
            <w:r>
              <w:rPr>
                <w:sz w:val="18"/>
                <w:szCs w:val="18"/>
                <w:lang w:val="uz-Cyrl-UZ"/>
              </w:rPr>
              <w:t>2</w:t>
            </w:r>
            <w:r w:rsidRPr="002E5CFC">
              <w:rPr>
                <w:sz w:val="18"/>
                <w:szCs w:val="18"/>
                <w:lang w:val="uz-Cyrl-UZ"/>
              </w:rPr>
              <w:t>.</w:t>
            </w:r>
          </w:p>
        </w:tc>
        <w:tc>
          <w:tcPr>
            <w:tcW w:w="131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7ACB" w:rsidRPr="00FF7ACB" w:rsidRDefault="00FF7ACB" w:rsidP="00FF7ACB">
            <w:pPr>
              <w:pStyle w:val="a5"/>
              <w:shd w:val="clear" w:color="auto" w:fill="FFFFFF"/>
              <w:tabs>
                <w:tab w:val="left" w:pos="220"/>
                <w:tab w:val="left" w:pos="1134"/>
              </w:tabs>
              <w:ind w:left="0"/>
              <w:jc w:val="both"/>
              <w:rPr>
                <w:sz w:val="18"/>
                <w:szCs w:val="18"/>
                <w:lang w:val="uz-Cyrl-UZ"/>
              </w:rPr>
            </w:pPr>
            <w:r w:rsidRPr="00FF7ACB">
              <w:rPr>
                <w:sz w:val="18"/>
                <w:szCs w:val="18"/>
                <w:lang w:val="uz-Cyrl-UZ"/>
              </w:rPr>
              <w:t>Джураев Одил Хуснитдинович</w:t>
            </w:r>
          </w:p>
        </w:tc>
        <w:tc>
          <w:tcPr>
            <w:tcW w:w="1378"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F7ACB" w:rsidRPr="00EE4534" w:rsidRDefault="00FF7ACB" w:rsidP="00FF7ACB">
            <w:pPr>
              <w:rPr>
                <w:sz w:val="18"/>
                <w:szCs w:val="18"/>
                <w:lang w:val="uz-Cyrl-UZ"/>
              </w:rPr>
            </w:pPr>
            <w:r w:rsidRPr="00FF7ACB">
              <w:rPr>
                <w:sz w:val="18"/>
                <w:szCs w:val="18"/>
                <w:lang w:val="uz-Cyrl-UZ"/>
              </w:rPr>
              <w:t>“STEDI” МЧЖ</w:t>
            </w:r>
          </w:p>
        </w:tc>
        <w:tc>
          <w:tcPr>
            <w:tcW w:w="697"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2E5CFC" w:rsidRDefault="00FF7ACB" w:rsidP="00FF7ACB">
            <w:pPr>
              <w:pStyle w:val="a4"/>
              <w:spacing w:before="0" w:beforeAutospacing="0" w:after="0" w:afterAutospacing="0"/>
              <w:ind w:left="-73" w:right="-78"/>
              <w:jc w:val="center"/>
              <w:rPr>
                <w:sz w:val="18"/>
                <w:szCs w:val="18"/>
                <w:lang w:val="uz-Cyrl-UZ"/>
              </w:rPr>
            </w:pPr>
            <w:r w:rsidRPr="002E5CFC">
              <w:rPr>
                <w:rFonts w:eastAsiaTheme="minorHAnsi"/>
                <w:sz w:val="18"/>
                <w:szCs w:val="18"/>
                <w:lang w:val="uz-Cyrl-UZ"/>
              </w:rPr>
              <w:t>Директор</w:t>
            </w:r>
          </w:p>
        </w:tc>
        <w:tc>
          <w:tcPr>
            <w:tcW w:w="415"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2E5CFC" w:rsidRDefault="00FF7ACB" w:rsidP="00FF7ACB">
            <w:pPr>
              <w:pStyle w:val="a4"/>
              <w:spacing w:before="0" w:beforeAutospacing="0" w:after="0" w:afterAutospacing="0"/>
              <w:jc w:val="center"/>
              <w:rPr>
                <w:rFonts w:eastAsiaTheme="minorEastAsia"/>
                <w:bCs/>
                <w:sz w:val="18"/>
                <w:szCs w:val="18"/>
                <w:lang w:val="uz-Cyrl-UZ"/>
              </w:rPr>
            </w:pPr>
            <w:r w:rsidRPr="002E5CFC">
              <w:rPr>
                <w:rFonts w:eastAsiaTheme="minorEastAsia"/>
                <w:bCs/>
                <w:sz w:val="18"/>
                <w:szCs w:val="18"/>
                <w:lang w:val="uz-Cyrl-UZ"/>
              </w:rPr>
              <w:t>-</w:t>
            </w:r>
          </w:p>
        </w:tc>
        <w:tc>
          <w:tcPr>
            <w:tcW w:w="3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F7ACB" w:rsidRPr="002E5CFC" w:rsidRDefault="00FF7ACB" w:rsidP="00FF7ACB">
            <w:pPr>
              <w:pStyle w:val="a4"/>
              <w:spacing w:before="0" w:beforeAutospacing="0" w:after="0" w:afterAutospacing="0"/>
              <w:jc w:val="center"/>
              <w:rPr>
                <w:rFonts w:eastAsiaTheme="minorEastAsia"/>
                <w:bCs/>
                <w:sz w:val="18"/>
                <w:szCs w:val="18"/>
                <w:lang w:val="uz-Cyrl-UZ"/>
              </w:rPr>
            </w:pPr>
            <w:r w:rsidRPr="002E5CFC">
              <w:rPr>
                <w:rFonts w:eastAsiaTheme="minorEastAsia"/>
                <w:bCs/>
                <w:sz w:val="18"/>
                <w:szCs w:val="18"/>
                <w:lang w:val="uz-Cyrl-UZ"/>
              </w:rPr>
              <w:t>0</w:t>
            </w:r>
          </w:p>
        </w:tc>
        <w:tc>
          <w:tcPr>
            <w:tcW w:w="483" w:type="pct"/>
            <w:tcBorders>
              <w:top w:val="nil"/>
              <w:left w:val="nil"/>
              <w:bottom w:val="single" w:sz="8" w:space="0" w:color="auto"/>
              <w:right w:val="single" w:sz="8" w:space="0" w:color="auto"/>
            </w:tcBorders>
            <w:shd w:val="clear" w:color="auto" w:fill="FFFFFF"/>
            <w:vAlign w:val="center"/>
            <w:hideMark/>
          </w:tcPr>
          <w:p w:rsidR="00FF7ACB" w:rsidRPr="002E5CFC" w:rsidRDefault="00FF7ACB" w:rsidP="00FF7ACB">
            <w:pPr>
              <w:jc w:val="center"/>
              <w:rPr>
                <w:sz w:val="18"/>
                <w:szCs w:val="18"/>
                <w:lang w:val="uz-Cyrl-UZ"/>
              </w:rPr>
            </w:pPr>
            <w:r w:rsidRPr="00C81A53">
              <w:rPr>
                <w:sz w:val="18"/>
                <w:szCs w:val="18"/>
              </w:rPr>
              <w:t>15 835 000</w:t>
            </w:r>
          </w:p>
        </w:tc>
      </w:tr>
    </w:tbl>
    <w:p w:rsidR="00E35EF2" w:rsidRDefault="00E35EF2" w:rsidP="00C45E51">
      <w:pPr>
        <w:rPr>
          <w:sz w:val="18"/>
          <w:szCs w:val="18"/>
          <w:lang w:val="uz-Cyrl-UZ"/>
        </w:rPr>
      </w:pPr>
    </w:p>
    <w:p w:rsidR="00C56D28" w:rsidRPr="00C56D28" w:rsidRDefault="00C56D28" w:rsidP="00C45E51">
      <w:pPr>
        <w:rPr>
          <w:b/>
          <w:lang w:val="uz-Cyrl-UZ"/>
        </w:rPr>
      </w:pPr>
    </w:p>
    <w:p w:rsidR="00C56D28" w:rsidRDefault="00C56D28" w:rsidP="00C45E51">
      <w:pPr>
        <w:rPr>
          <w:b/>
          <w:lang w:val="uz-Cyrl-UZ"/>
        </w:rPr>
      </w:pPr>
    </w:p>
    <w:p w:rsidR="00C56D28" w:rsidRPr="00C56D28" w:rsidRDefault="00C56D28" w:rsidP="00C45E51">
      <w:pPr>
        <w:ind w:left="284"/>
        <w:rPr>
          <w:b/>
          <w:sz w:val="22"/>
          <w:szCs w:val="22"/>
          <w:lang w:val="uz-Cyrl-UZ"/>
        </w:rPr>
      </w:pPr>
      <w:r w:rsidRPr="00C56D28">
        <w:rPr>
          <w:b/>
          <w:sz w:val="22"/>
          <w:szCs w:val="22"/>
          <w:lang w:val="uz-Cyrl-UZ"/>
        </w:rPr>
        <w:t xml:space="preserve">Бошқарув раиси </w:t>
      </w:r>
      <w:r w:rsidR="00FF7ACB">
        <w:rPr>
          <w:b/>
          <w:sz w:val="22"/>
          <w:szCs w:val="22"/>
          <w:lang w:val="uz-Cyrl-UZ"/>
        </w:rPr>
        <w:tab/>
      </w:r>
      <w:r w:rsidR="00FF7ACB">
        <w:rPr>
          <w:b/>
          <w:sz w:val="22"/>
          <w:szCs w:val="22"/>
          <w:lang w:val="uz-Cyrl-UZ"/>
        </w:rPr>
        <w:tab/>
      </w:r>
      <w:r w:rsidR="00FF7ACB">
        <w:rPr>
          <w:b/>
          <w:sz w:val="22"/>
          <w:szCs w:val="22"/>
          <w:lang w:val="uz-Cyrl-UZ"/>
        </w:rPr>
        <w:tab/>
      </w:r>
      <w:r w:rsidRPr="00C56D28">
        <w:rPr>
          <w:b/>
          <w:sz w:val="22"/>
          <w:szCs w:val="22"/>
          <w:lang w:val="uz-Cyrl-UZ"/>
        </w:rPr>
        <w:t xml:space="preserve"> </w:t>
      </w:r>
      <w:r w:rsidRPr="00C56D28">
        <w:rPr>
          <w:b/>
          <w:sz w:val="22"/>
          <w:szCs w:val="22"/>
          <w:lang w:val="uz-Cyrl-UZ"/>
        </w:rPr>
        <w:tab/>
      </w:r>
      <w:r w:rsidRPr="00C56D28">
        <w:rPr>
          <w:b/>
          <w:sz w:val="22"/>
          <w:szCs w:val="22"/>
          <w:lang w:val="uz-Cyrl-UZ"/>
        </w:rPr>
        <w:tab/>
      </w:r>
      <w:r w:rsidRPr="00C56D28">
        <w:rPr>
          <w:b/>
          <w:sz w:val="22"/>
          <w:szCs w:val="22"/>
          <w:lang w:val="uz-Cyrl-UZ"/>
        </w:rPr>
        <w:tab/>
      </w:r>
      <w:r w:rsidRPr="00C56D28">
        <w:rPr>
          <w:b/>
          <w:sz w:val="22"/>
          <w:szCs w:val="22"/>
          <w:lang w:val="uz-Cyrl-UZ"/>
        </w:rPr>
        <w:tab/>
      </w:r>
      <w:r w:rsidR="00FF7ACB" w:rsidRPr="00FF7ACB">
        <w:rPr>
          <w:b/>
          <w:sz w:val="22"/>
          <w:szCs w:val="22"/>
          <w:lang w:val="uz-Cyrl-UZ"/>
        </w:rPr>
        <w:t>Ф.О.Камалов</w:t>
      </w:r>
    </w:p>
    <w:p w:rsidR="00C56D28" w:rsidRPr="00C56D28" w:rsidRDefault="00C56D28" w:rsidP="00C45E51">
      <w:pPr>
        <w:ind w:left="284"/>
        <w:rPr>
          <w:b/>
          <w:sz w:val="22"/>
          <w:szCs w:val="22"/>
          <w:lang w:val="uz-Cyrl-UZ"/>
        </w:rPr>
      </w:pPr>
    </w:p>
    <w:p w:rsidR="00C56D28" w:rsidRPr="00C56D28" w:rsidRDefault="00C56D28" w:rsidP="00C45E51">
      <w:pPr>
        <w:ind w:left="284"/>
        <w:rPr>
          <w:b/>
          <w:sz w:val="22"/>
          <w:szCs w:val="22"/>
          <w:lang w:val="uz-Cyrl-UZ"/>
        </w:rPr>
      </w:pPr>
    </w:p>
    <w:p w:rsidR="00C56D28" w:rsidRPr="00C56D28" w:rsidRDefault="00C56D28" w:rsidP="00C45E51">
      <w:pPr>
        <w:ind w:left="284"/>
        <w:rPr>
          <w:b/>
          <w:sz w:val="22"/>
          <w:szCs w:val="22"/>
          <w:lang w:val="uz-Cyrl-UZ"/>
        </w:rPr>
      </w:pPr>
      <w:r w:rsidRPr="00FF7ACB">
        <w:rPr>
          <w:b/>
          <w:sz w:val="22"/>
          <w:szCs w:val="22"/>
          <w:lang w:val="uz-Cyrl-UZ"/>
        </w:rPr>
        <w:t>Бош бухгалтер</w:t>
      </w:r>
      <w:r w:rsidRPr="00C56D28">
        <w:rPr>
          <w:b/>
          <w:sz w:val="22"/>
          <w:szCs w:val="22"/>
          <w:lang w:val="uz-Cyrl-UZ"/>
        </w:rPr>
        <w:tab/>
      </w:r>
      <w:r w:rsidRPr="00C56D28">
        <w:rPr>
          <w:b/>
          <w:sz w:val="22"/>
          <w:szCs w:val="22"/>
          <w:lang w:val="uz-Cyrl-UZ"/>
        </w:rPr>
        <w:tab/>
      </w:r>
      <w:r w:rsidRPr="00C56D28">
        <w:rPr>
          <w:b/>
          <w:sz w:val="22"/>
          <w:szCs w:val="22"/>
          <w:lang w:val="uz-Cyrl-UZ"/>
        </w:rPr>
        <w:tab/>
      </w:r>
      <w:r w:rsidRPr="00C56D28">
        <w:rPr>
          <w:b/>
          <w:sz w:val="22"/>
          <w:szCs w:val="22"/>
          <w:lang w:val="uz-Cyrl-UZ"/>
        </w:rPr>
        <w:tab/>
      </w:r>
      <w:r w:rsidRPr="00C56D28">
        <w:rPr>
          <w:b/>
          <w:sz w:val="22"/>
          <w:szCs w:val="22"/>
          <w:lang w:val="uz-Cyrl-UZ"/>
        </w:rPr>
        <w:tab/>
      </w:r>
      <w:r w:rsidRPr="00C56D28">
        <w:rPr>
          <w:b/>
          <w:sz w:val="22"/>
          <w:szCs w:val="22"/>
          <w:lang w:val="uz-Cyrl-UZ"/>
        </w:rPr>
        <w:tab/>
      </w:r>
      <w:r w:rsidRPr="00C56D28">
        <w:rPr>
          <w:b/>
          <w:sz w:val="22"/>
          <w:szCs w:val="22"/>
          <w:lang w:val="uz-Cyrl-UZ"/>
        </w:rPr>
        <w:tab/>
      </w:r>
      <w:r w:rsidR="00FF7ACB" w:rsidRPr="00FF7ACB">
        <w:rPr>
          <w:b/>
          <w:sz w:val="22"/>
          <w:szCs w:val="22"/>
          <w:lang w:val="uz-Cyrl-UZ"/>
        </w:rPr>
        <w:t>С.С.Акбарова</w:t>
      </w:r>
    </w:p>
    <w:p w:rsidR="00C56D28" w:rsidRPr="00C56D28" w:rsidRDefault="00C56D28" w:rsidP="00C45E51">
      <w:pPr>
        <w:ind w:left="284"/>
        <w:rPr>
          <w:b/>
          <w:sz w:val="22"/>
          <w:szCs w:val="22"/>
          <w:lang w:val="uz-Cyrl-UZ"/>
        </w:rPr>
      </w:pPr>
    </w:p>
    <w:p w:rsidR="00C56D28" w:rsidRPr="00C56D28" w:rsidRDefault="00C56D28" w:rsidP="00C45E51">
      <w:pPr>
        <w:ind w:left="284"/>
        <w:rPr>
          <w:b/>
          <w:sz w:val="22"/>
          <w:szCs w:val="22"/>
          <w:lang w:val="uz-Cyrl-UZ"/>
        </w:rPr>
      </w:pPr>
    </w:p>
    <w:p w:rsidR="00C56D28" w:rsidRPr="00C56D28" w:rsidRDefault="00C56D28" w:rsidP="00C45E51">
      <w:pPr>
        <w:ind w:left="284"/>
        <w:rPr>
          <w:b/>
          <w:sz w:val="22"/>
          <w:szCs w:val="22"/>
          <w:lang w:val="uz-Cyrl-UZ"/>
        </w:rPr>
      </w:pPr>
      <w:r w:rsidRPr="00FF7ACB">
        <w:rPr>
          <w:b/>
          <w:sz w:val="22"/>
          <w:szCs w:val="22"/>
          <w:lang w:val="uz-Cyrl-UZ"/>
        </w:rPr>
        <w:t>Веб-сайтда ахборот</w:t>
      </w:r>
    </w:p>
    <w:p w:rsidR="00C56D28" w:rsidRPr="00C56D28" w:rsidRDefault="00C56D28" w:rsidP="00C45E51">
      <w:pPr>
        <w:ind w:left="284"/>
        <w:rPr>
          <w:b/>
          <w:sz w:val="22"/>
          <w:szCs w:val="22"/>
          <w:lang w:val="uz-Cyrl-UZ"/>
        </w:rPr>
      </w:pPr>
      <w:r w:rsidRPr="00C56D28">
        <w:rPr>
          <w:b/>
          <w:sz w:val="22"/>
          <w:szCs w:val="22"/>
          <w:lang w:val="uz-Cyrl-UZ"/>
        </w:rPr>
        <w:t>жойлаштирган ваколатли шахс:</w:t>
      </w:r>
      <w:r w:rsidRPr="00C56D28">
        <w:rPr>
          <w:b/>
          <w:sz w:val="22"/>
          <w:szCs w:val="22"/>
          <w:lang w:val="uz-Cyrl-UZ"/>
        </w:rPr>
        <w:tab/>
      </w:r>
      <w:r w:rsidRPr="00C56D28">
        <w:rPr>
          <w:b/>
          <w:sz w:val="22"/>
          <w:szCs w:val="22"/>
          <w:lang w:val="uz-Cyrl-UZ"/>
        </w:rPr>
        <w:tab/>
      </w:r>
      <w:r>
        <w:rPr>
          <w:b/>
          <w:sz w:val="22"/>
          <w:szCs w:val="22"/>
          <w:lang w:val="uz-Cyrl-UZ"/>
        </w:rPr>
        <w:tab/>
      </w:r>
      <w:r w:rsidRPr="00C56D28">
        <w:rPr>
          <w:b/>
          <w:sz w:val="22"/>
          <w:szCs w:val="22"/>
          <w:lang w:val="uz-Cyrl-UZ"/>
        </w:rPr>
        <w:tab/>
      </w:r>
      <w:r w:rsidRPr="00C56D28">
        <w:rPr>
          <w:b/>
          <w:sz w:val="22"/>
          <w:szCs w:val="22"/>
          <w:lang w:val="uz-Cyrl-UZ"/>
        </w:rPr>
        <w:tab/>
      </w:r>
      <w:r w:rsidR="00FF7ACB">
        <w:rPr>
          <w:b/>
          <w:sz w:val="22"/>
          <w:szCs w:val="22"/>
          <w:lang w:val="uz-Cyrl-UZ"/>
        </w:rPr>
        <w:t>Ш</w:t>
      </w:r>
      <w:r w:rsidRPr="00C56D28">
        <w:rPr>
          <w:b/>
          <w:sz w:val="22"/>
          <w:szCs w:val="22"/>
          <w:lang w:val="uz-Cyrl-UZ"/>
        </w:rPr>
        <w:t>.</w:t>
      </w:r>
      <w:r w:rsidR="00FF7ACB">
        <w:rPr>
          <w:b/>
          <w:sz w:val="22"/>
          <w:szCs w:val="22"/>
          <w:lang w:val="uz-Cyrl-UZ"/>
        </w:rPr>
        <w:t>Ш</w:t>
      </w:r>
      <w:r w:rsidRPr="00C56D28">
        <w:rPr>
          <w:b/>
          <w:sz w:val="22"/>
          <w:szCs w:val="22"/>
          <w:lang w:val="uz-Cyrl-UZ"/>
        </w:rPr>
        <w:t>.</w:t>
      </w:r>
      <w:r w:rsidR="00FF7ACB">
        <w:rPr>
          <w:b/>
          <w:sz w:val="22"/>
          <w:szCs w:val="22"/>
          <w:lang w:val="uz-Cyrl-UZ"/>
        </w:rPr>
        <w:t>Жураев</w:t>
      </w:r>
    </w:p>
    <w:sectPr w:rsidR="00C56D28" w:rsidRPr="00C56D28" w:rsidSect="001E7E9A">
      <w:footerReference w:type="default" r:id="rId10"/>
      <w:pgSz w:w="11906" w:h="16838"/>
      <w:pgMar w:top="1134"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CB" w:rsidRDefault="00FF7ACB" w:rsidP="001E7E9A">
      <w:r>
        <w:separator/>
      </w:r>
    </w:p>
  </w:endnote>
  <w:endnote w:type="continuationSeparator" w:id="1">
    <w:p w:rsidR="00FF7ACB" w:rsidRDefault="00FF7ACB" w:rsidP="001E7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CB" w:rsidRDefault="00FF7ACB" w:rsidP="001E7E9A">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CB" w:rsidRDefault="00FF7ACB" w:rsidP="001E7E9A">
      <w:r>
        <w:separator/>
      </w:r>
    </w:p>
  </w:footnote>
  <w:footnote w:type="continuationSeparator" w:id="1">
    <w:p w:rsidR="00FF7ACB" w:rsidRDefault="00FF7ACB" w:rsidP="001E7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F87"/>
    <w:multiLevelType w:val="hybridMultilevel"/>
    <w:tmpl w:val="B77E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80B1A"/>
    <w:multiLevelType w:val="hybridMultilevel"/>
    <w:tmpl w:val="0D1EA5C2"/>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64633"/>
    <w:multiLevelType w:val="hybridMultilevel"/>
    <w:tmpl w:val="8B8AC1FC"/>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C80C82"/>
    <w:multiLevelType w:val="hybridMultilevel"/>
    <w:tmpl w:val="0376125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A3512"/>
    <w:multiLevelType w:val="hybridMultilevel"/>
    <w:tmpl w:val="607E51A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52379"/>
    <w:multiLevelType w:val="hybridMultilevel"/>
    <w:tmpl w:val="83CE1FBC"/>
    <w:lvl w:ilvl="0" w:tplc="58DC4C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D7C242C"/>
    <w:multiLevelType w:val="hybridMultilevel"/>
    <w:tmpl w:val="C0448B2A"/>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8F55DF"/>
    <w:multiLevelType w:val="hybridMultilevel"/>
    <w:tmpl w:val="32C2C914"/>
    <w:lvl w:ilvl="0" w:tplc="7A325942">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3FA9"/>
    <w:rsid w:val="000004B3"/>
    <w:rsid w:val="000005FF"/>
    <w:rsid w:val="000012B2"/>
    <w:rsid w:val="000025F3"/>
    <w:rsid w:val="00025C64"/>
    <w:rsid w:val="00034261"/>
    <w:rsid w:val="00062C3B"/>
    <w:rsid w:val="000637C8"/>
    <w:rsid w:val="00067CA5"/>
    <w:rsid w:val="00073389"/>
    <w:rsid w:val="0007710D"/>
    <w:rsid w:val="000857EC"/>
    <w:rsid w:val="00091D21"/>
    <w:rsid w:val="000924F4"/>
    <w:rsid w:val="00092819"/>
    <w:rsid w:val="000A2DF1"/>
    <w:rsid w:val="000A7BB7"/>
    <w:rsid w:val="000C2C30"/>
    <w:rsid w:val="000D0D6A"/>
    <w:rsid w:val="000E0104"/>
    <w:rsid w:val="00101831"/>
    <w:rsid w:val="0010423E"/>
    <w:rsid w:val="00117068"/>
    <w:rsid w:val="00150BFB"/>
    <w:rsid w:val="00152776"/>
    <w:rsid w:val="00153FA9"/>
    <w:rsid w:val="001578B7"/>
    <w:rsid w:val="00163022"/>
    <w:rsid w:val="001658C2"/>
    <w:rsid w:val="001727D7"/>
    <w:rsid w:val="00180A70"/>
    <w:rsid w:val="00185827"/>
    <w:rsid w:val="00186AA0"/>
    <w:rsid w:val="001A03BA"/>
    <w:rsid w:val="001A2817"/>
    <w:rsid w:val="001A2EE6"/>
    <w:rsid w:val="001B32DC"/>
    <w:rsid w:val="001C2152"/>
    <w:rsid w:val="001C338E"/>
    <w:rsid w:val="001C6E70"/>
    <w:rsid w:val="001E0504"/>
    <w:rsid w:val="001E331D"/>
    <w:rsid w:val="001E6EC6"/>
    <w:rsid w:val="001E7E9A"/>
    <w:rsid w:val="001F309A"/>
    <w:rsid w:val="002101EC"/>
    <w:rsid w:val="00217075"/>
    <w:rsid w:val="00225471"/>
    <w:rsid w:val="002259D6"/>
    <w:rsid w:val="00230F0B"/>
    <w:rsid w:val="002423AA"/>
    <w:rsid w:val="00254D20"/>
    <w:rsid w:val="002641D3"/>
    <w:rsid w:val="00266F72"/>
    <w:rsid w:val="002741FB"/>
    <w:rsid w:val="00283ABA"/>
    <w:rsid w:val="0028735C"/>
    <w:rsid w:val="002937E9"/>
    <w:rsid w:val="00294EDE"/>
    <w:rsid w:val="002A386A"/>
    <w:rsid w:val="002A395D"/>
    <w:rsid w:val="002A5036"/>
    <w:rsid w:val="002A7319"/>
    <w:rsid w:val="002B4030"/>
    <w:rsid w:val="002B5CF6"/>
    <w:rsid w:val="002C2C3E"/>
    <w:rsid w:val="002C338B"/>
    <w:rsid w:val="002C6A57"/>
    <w:rsid w:val="002E18AD"/>
    <w:rsid w:val="002E5CFC"/>
    <w:rsid w:val="002F1B2E"/>
    <w:rsid w:val="002F64F4"/>
    <w:rsid w:val="00301EE3"/>
    <w:rsid w:val="00305FA4"/>
    <w:rsid w:val="00306845"/>
    <w:rsid w:val="00307E0D"/>
    <w:rsid w:val="003110C6"/>
    <w:rsid w:val="00314B6F"/>
    <w:rsid w:val="00321F55"/>
    <w:rsid w:val="00326F4C"/>
    <w:rsid w:val="0033081E"/>
    <w:rsid w:val="003430CA"/>
    <w:rsid w:val="00344954"/>
    <w:rsid w:val="00352F82"/>
    <w:rsid w:val="0035578D"/>
    <w:rsid w:val="0035612A"/>
    <w:rsid w:val="00361A44"/>
    <w:rsid w:val="00374E4D"/>
    <w:rsid w:val="00381245"/>
    <w:rsid w:val="00385E67"/>
    <w:rsid w:val="00387832"/>
    <w:rsid w:val="003975AF"/>
    <w:rsid w:val="003A3B4D"/>
    <w:rsid w:val="003C1352"/>
    <w:rsid w:val="003D1467"/>
    <w:rsid w:val="003D35E1"/>
    <w:rsid w:val="003D5262"/>
    <w:rsid w:val="003E32FB"/>
    <w:rsid w:val="003E7A83"/>
    <w:rsid w:val="003F40BA"/>
    <w:rsid w:val="003F78CA"/>
    <w:rsid w:val="004079CF"/>
    <w:rsid w:val="00416BDF"/>
    <w:rsid w:val="00417726"/>
    <w:rsid w:val="00424862"/>
    <w:rsid w:val="004253FD"/>
    <w:rsid w:val="00426F70"/>
    <w:rsid w:val="004300C7"/>
    <w:rsid w:val="004312B9"/>
    <w:rsid w:val="004321C6"/>
    <w:rsid w:val="004321EA"/>
    <w:rsid w:val="00445C7B"/>
    <w:rsid w:val="004463CC"/>
    <w:rsid w:val="0045022A"/>
    <w:rsid w:val="00451119"/>
    <w:rsid w:val="0045330E"/>
    <w:rsid w:val="00462788"/>
    <w:rsid w:val="004648DD"/>
    <w:rsid w:val="00464C9F"/>
    <w:rsid w:val="00467E2E"/>
    <w:rsid w:val="004747BD"/>
    <w:rsid w:val="0047648D"/>
    <w:rsid w:val="00480D67"/>
    <w:rsid w:val="004844DA"/>
    <w:rsid w:val="004955DC"/>
    <w:rsid w:val="004B56FF"/>
    <w:rsid w:val="004D0AFB"/>
    <w:rsid w:val="004D7FB4"/>
    <w:rsid w:val="004F3DE7"/>
    <w:rsid w:val="004F5A70"/>
    <w:rsid w:val="004F73DB"/>
    <w:rsid w:val="005053D9"/>
    <w:rsid w:val="0050545F"/>
    <w:rsid w:val="00505A7A"/>
    <w:rsid w:val="00507962"/>
    <w:rsid w:val="00514CEC"/>
    <w:rsid w:val="0052151E"/>
    <w:rsid w:val="005220E7"/>
    <w:rsid w:val="00525A54"/>
    <w:rsid w:val="00527616"/>
    <w:rsid w:val="00541721"/>
    <w:rsid w:val="00543ACC"/>
    <w:rsid w:val="005449D2"/>
    <w:rsid w:val="00552C1C"/>
    <w:rsid w:val="0056724A"/>
    <w:rsid w:val="00567981"/>
    <w:rsid w:val="005827AC"/>
    <w:rsid w:val="005922C1"/>
    <w:rsid w:val="00594083"/>
    <w:rsid w:val="005A5828"/>
    <w:rsid w:val="005B7712"/>
    <w:rsid w:val="005C2C65"/>
    <w:rsid w:val="005C680E"/>
    <w:rsid w:val="005D6395"/>
    <w:rsid w:val="005D79D1"/>
    <w:rsid w:val="005F7F76"/>
    <w:rsid w:val="00601303"/>
    <w:rsid w:val="00601EAB"/>
    <w:rsid w:val="00605BF3"/>
    <w:rsid w:val="006302D5"/>
    <w:rsid w:val="006302DE"/>
    <w:rsid w:val="00632599"/>
    <w:rsid w:val="0063361F"/>
    <w:rsid w:val="00656719"/>
    <w:rsid w:val="006572C0"/>
    <w:rsid w:val="00661E48"/>
    <w:rsid w:val="00667C96"/>
    <w:rsid w:val="00674535"/>
    <w:rsid w:val="006829D3"/>
    <w:rsid w:val="00696C01"/>
    <w:rsid w:val="006B0DD0"/>
    <w:rsid w:val="006B35E0"/>
    <w:rsid w:val="006C77A6"/>
    <w:rsid w:val="006D7D49"/>
    <w:rsid w:val="006E1957"/>
    <w:rsid w:val="006E54DA"/>
    <w:rsid w:val="006E639A"/>
    <w:rsid w:val="006F3F1E"/>
    <w:rsid w:val="00713E0B"/>
    <w:rsid w:val="007172F3"/>
    <w:rsid w:val="00717392"/>
    <w:rsid w:val="00723871"/>
    <w:rsid w:val="00724200"/>
    <w:rsid w:val="0073315C"/>
    <w:rsid w:val="007449E7"/>
    <w:rsid w:val="00744A8F"/>
    <w:rsid w:val="007530ED"/>
    <w:rsid w:val="007543DB"/>
    <w:rsid w:val="00757553"/>
    <w:rsid w:val="0076276C"/>
    <w:rsid w:val="00765403"/>
    <w:rsid w:val="0077396B"/>
    <w:rsid w:val="00774766"/>
    <w:rsid w:val="00777219"/>
    <w:rsid w:val="007913B8"/>
    <w:rsid w:val="00795EA3"/>
    <w:rsid w:val="007A756E"/>
    <w:rsid w:val="007B29DF"/>
    <w:rsid w:val="007B32F5"/>
    <w:rsid w:val="007B3488"/>
    <w:rsid w:val="007C065A"/>
    <w:rsid w:val="007D1E36"/>
    <w:rsid w:val="007D6AEC"/>
    <w:rsid w:val="007E79D5"/>
    <w:rsid w:val="007F55C5"/>
    <w:rsid w:val="007F7606"/>
    <w:rsid w:val="00800BD9"/>
    <w:rsid w:val="008012B2"/>
    <w:rsid w:val="00810F20"/>
    <w:rsid w:val="00813BD4"/>
    <w:rsid w:val="00817128"/>
    <w:rsid w:val="00824B9A"/>
    <w:rsid w:val="00825A87"/>
    <w:rsid w:val="008446BA"/>
    <w:rsid w:val="008531CD"/>
    <w:rsid w:val="00876305"/>
    <w:rsid w:val="008909BE"/>
    <w:rsid w:val="00895FEA"/>
    <w:rsid w:val="00897B5B"/>
    <w:rsid w:val="008C2D30"/>
    <w:rsid w:val="008C7952"/>
    <w:rsid w:val="008D366B"/>
    <w:rsid w:val="008D4158"/>
    <w:rsid w:val="008D7972"/>
    <w:rsid w:val="008E144E"/>
    <w:rsid w:val="008E5A92"/>
    <w:rsid w:val="008E62EB"/>
    <w:rsid w:val="00904922"/>
    <w:rsid w:val="009060E6"/>
    <w:rsid w:val="00914D6D"/>
    <w:rsid w:val="00934E8B"/>
    <w:rsid w:val="0093748F"/>
    <w:rsid w:val="00951E14"/>
    <w:rsid w:val="00952045"/>
    <w:rsid w:val="0095281B"/>
    <w:rsid w:val="00952D89"/>
    <w:rsid w:val="0095740F"/>
    <w:rsid w:val="00962C48"/>
    <w:rsid w:val="00965F5E"/>
    <w:rsid w:val="00973B61"/>
    <w:rsid w:val="009740C7"/>
    <w:rsid w:val="00983C71"/>
    <w:rsid w:val="009B0EA3"/>
    <w:rsid w:val="009B1578"/>
    <w:rsid w:val="009C0705"/>
    <w:rsid w:val="009C2A79"/>
    <w:rsid w:val="009D0D00"/>
    <w:rsid w:val="009D184F"/>
    <w:rsid w:val="009D677A"/>
    <w:rsid w:val="009E6E7B"/>
    <w:rsid w:val="009F51A9"/>
    <w:rsid w:val="009F78AA"/>
    <w:rsid w:val="00A104DE"/>
    <w:rsid w:val="00A17530"/>
    <w:rsid w:val="00A20570"/>
    <w:rsid w:val="00A20B53"/>
    <w:rsid w:val="00A24901"/>
    <w:rsid w:val="00A3358C"/>
    <w:rsid w:val="00A44EAC"/>
    <w:rsid w:val="00A536A4"/>
    <w:rsid w:val="00A53D09"/>
    <w:rsid w:val="00A57010"/>
    <w:rsid w:val="00A60894"/>
    <w:rsid w:val="00A61929"/>
    <w:rsid w:val="00AB2E8C"/>
    <w:rsid w:val="00AC7C99"/>
    <w:rsid w:val="00AD36FB"/>
    <w:rsid w:val="00AD3FEE"/>
    <w:rsid w:val="00AD79AE"/>
    <w:rsid w:val="00AF3E9C"/>
    <w:rsid w:val="00B00549"/>
    <w:rsid w:val="00B03CA8"/>
    <w:rsid w:val="00B052AF"/>
    <w:rsid w:val="00B071E1"/>
    <w:rsid w:val="00B11830"/>
    <w:rsid w:val="00B314E0"/>
    <w:rsid w:val="00B34CCF"/>
    <w:rsid w:val="00B50FEE"/>
    <w:rsid w:val="00B54218"/>
    <w:rsid w:val="00B6393E"/>
    <w:rsid w:val="00B67856"/>
    <w:rsid w:val="00B81FF2"/>
    <w:rsid w:val="00BA33B6"/>
    <w:rsid w:val="00BA5E1C"/>
    <w:rsid w:val="00BB7926"/>
    <w:rsid w:val="00BD059F"/>
    <w:rsid w:val="00BD26F2"/>
    <w:rsid w:val="00BD5CDE"/>
    <w:rsid w:val="00BE2DF4"/>
    <w:rsid w:val="00BE3584"/>
    <w:rsid w:val="00BF2834"/>
    <w:rsid w:val="00BF4DBA"/>
    <w:rsid w:val="00C04108"/>
    <w:rsid w:val="00C046B3"/>
    <w:rsid w:val="00C054BB"/>
    <w:rsid w:val="00C06E5E"/>
    <w:rsid w:val="00C107FB"/>
    <w:rsid w:val="00C23F11"/>
    <w:rsid w:val="00C31403"/>
    <w:rsid w:val="00C3371B"/>
    <w:rsid w:val="00C35C2B"/>
    <w:rsid w:val="00C3619A"/>
    <w:rsid w:val="00C373B0"/>
    <w:rsid w:val="00C45BFD"/>
    <w:rsid w:val="00C45E51"/>
    <w:rsid w:val="00C51609"/>
    <w:rsid w:val="00C56D28"/>
    <w:rsid w:val="00C62FC5"/>
    <w:rsid w:val="00C73A70"/>
    <w:rsid w:val="00C81A53"/>
    <w:rsid w:val="00C87C7E"/>
    <w:rsid w:val="00C933F3"/>
    <w:rsid w:val="00CA2E99"/>
    <w:rsid w:val="00CC3697"/>
    <w:rsid w:val="00CC6CDC"/>
    <w:rsid w:val="00CD04FC"/>
    <w:rsid w:val="00CD33F7"/>
    <w:rsid w:val="00CD44D7"/>
    <w:rsid w:val="00CD473A"/>
    <w:rsid w:val="00CD75B1"/>
    <w:rsid w:val="00CF0D46"/>
    <w:rsid w:val="00D00201"/>
    <w:rsid w:val="00D01854"/>
    <w:rsid w:val="00D1088F"/>
    <w:rsid w:val="00D233D8"/>
    <w:rsid w:val="00D26766"/>
    <w:rsid w:val="00D270FD"/>
    <w:rsid w:val="00D303CD"/>
    <w:rsid w:val="00D30B48"/>
    <w:rsid w:val="00D31E90"/>
    <w:rsid w:val="00D45AC1"/>
    <w:rsid w:val="00D50822"/>
    <w:rsid w:val="00D529AD"/>
    <w:rsid w:val="00D65FBA"/>
    <w:rsid w:val="00D913B0"/>
    <w:rsid w:val="00DA03AE"/>
    <w:rsid w:val="00DA628B"/>
    <w:rsid w:val="00DB4223"/>
    <w:rsid w:val="00DC4820"/>
    <w:rsid w:val="00DC561F"/>
    <w:rsid w:val="00DC5BD4"/>
    <w:rsid w:val="00DD5473"/>
    <w:rsid w:val="00DE2224"/>
    <w:rsid w:val="00DE2AD5"/>
    <w:rsid w:val="00E022F5"/>
    <w:rsid w:val="00E02844"/>
    <w:rsid w:val="00E16BD8"/>
    <w:rsid w:val="00E17E88"/>
    <w:rsid w:val="00E35EF2"/>
    <w:rsid w:val="00E60933"/>
    <w:rsid w:val="00E61694"/>
    <w:rsid w:val="00E62199"/>
    <w:rsid w:val="00E645B1"/>
    <w:rsid w:val="00E66DB2"/>
    <w:rsid w:val="00E81B5D"/>
    <w:rsid w:val="00EA2733"/>
    <w:rsid w:val="00EB1139"/>
    <w:rsid w:val="00EC1FFD"/>
    <w:rsid w:val="00ED0B33"/>
    <w:rsid w:val="00ED4598"/>
    <w:rsid w:val="00ED5221"/>
    <w:rsid w:val="00ED6192"/>
    <w:rsid w:val="00EE4534"/>
    <w:rsid w:val="00EE756D"/>
    <w:rsid w:val="00F06BE7"/>
    <w:rsid w:val="00F12747"/>
    <w:rsid w:val="00F17516"/>
    <w:rsid w:val="00F23A1A"/>
    <w:rsid w:val="00F254D0"/>
    <w:rsid w:val="00F30BB6"/>
    <w:rsid w:val="00F334AA"/>
    <w:rsid w:val="00F34E15"/>
    <w:rsid w:val="00F46C65"/>
    <w:rsid w:val="00F476D7"/>
    <w:rsid w:val="00F47E50"/>
    <w:rsid w:val="00F51A1C"/>
    <w:rsid w:val="00F5619C"/>
    <w:rsid w:val="00F653FC"/>
    <w:rsid w:val="00F720EF"/>
    <w:rsid w:val="00F83804"/>
    <w:rsid w:val="00F86E93"/>
    <w:rsid w:val="00F929B2"/>
    <w:rsid w:val="00F961C3"/>
    <w:rsid w:val="00FA1F49"/>
    <w:rsid w:val="00FA2B74"/>
    <w:rsid w:val="00FA40FA"/>
    <w:rsid w:val="00FB0321"/>
    <w:rsid w:val="00FC4966"/>
    <w:rsid w:val="00FC7952"/>
    <w:rsid w:val="00FD12C5"/>
    <w:rsid w:val="00FD70A7"/>
    <w:rsid w:val="00FD7214"/>
    <w:rsid w:val="00FD77C8"/>
    <w:rsid w:val="00FF2C68"/>
    <w:rsid w:val="00FF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FA9"/>
    <w:rPr>
      <w:color w:val="0000FF"/>
      <w:u w:val="single"/>
    </w:rPr>
  </w:style>
  <w:style w:type="paragraph" w:styleId="a4">
    <w:name w:val="Normal (Web)"/>
    <w:basedOn w:val="a"/>
    <w:uiPriority w:val="99"/>
    <w:unhideWhenUsed/>
    <w:rsid w:val="00153FA9"/>
    <w:pPr>
      <w:spacing w:before="100" w:beforeAutospacing="1" w:after="100" w:afterAutospacing="1"/>
    </w:pPr>
  </w:style>
  <w:style w:type="paragraph" w:styleId="a5">
    <w:name w:val="List Paragraph"/>
    <w:basedOn w:val="a"/>
    <w:uiPriority w:val="34"/>
    <w:qFormat/>
    <w:rsid w:val="00F476D7"/>
    <w:pPr>
      <w:ind w:left="720"/>
      <w:contextualSpacing/>
    </w:pPr>
  </w:style>
  <w:style w:type="paragraph" w:styleId="a6">
    <w:name w:val="Body Text Indent"/>
    <w:basedOn w:val="a"/>
    <w:link w:val="a7"/>
    <w:uiPriority w:val="99"/>
    <w:rsid w:val="007B29DF"/>
    <w:pPr>
      <w:shd w:val="clear" w:color="auto" w:fill="FFFFFF"/>
      <w:ind w:firstLine="720"/>
      <w:jc w:val="both"/>
    </w:pPr>
    <w:rPr>
      <w:sz w:val="22"/>
      <w:szCs w:val="22"/>
    </w:rPr>
  </w:style>
  <w:style w:type="character" w:customStyle="1" w:styleId="a7">
    <w:name w:val="Основной текст с отступом Знак"/>
    <w:basedOn w:val="a0"/>
    <w:link w:val="a6"/>
    <w:uiPriority w:val="99"/>
    <w:rsid w:val="007B29DF"/>
    <w:rPr>
      <w:rFonts w:ascii="Times New Roman" w:eastAsia="Times New Roman" w:hAnsi="Times New Roman" w:cs="Times New Roman"/>
      <w:shd w:val="clear" w:color="auto" w:fill="FFFFFF"/>
      <w:lang w:eastAsia="ru-RU"/>
    </w:rPr>
  </w:style>
  <w:style w:type="paragraph" w:styleId="a8">
    <w:name w:val="header"/>
    <w:basedOn w:val="a"/>
    <w:link w:val="a9"/>
    <w:uiPriority w:val="99"/>
    <w:semiHidden/>
    <w:unhideWhenUsed/>
    <w:rsid w:val="001E7E9A"/>
    <w:pPr>
      <w:tabs>
        <w:tab w:val="center" w:pos="4677"/>
        <w:tab w:val="right" w:pos="9355"/>
      </w:tabs>
    </w:pPr>
  </w:style>
  <w:style w:type="character" w:customStyle="1" w:styleId="a9">
    <w:name w:val="Верхний колонтитул Знак"/>
    <w:basedOn w:val="a0"/>
    <w:link w:val="a8"/>
    <w:uiPriority w:val="99"/>
    <w:semiHidden/>
    <w:rsid w:val="001E7E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7E9A"/>
    <w:pPr>
      <w:tabs>
        <w:tab w:val="center" w:pos="4677"/>
        <w:tab w:val="right" w:pos="9355"/>
      </w:tabs>
    </w:pPr>
  </w:style>
  <w:style w:type="character" w:customStyle="1" w:styleId="ab">
    <w:name w:val="Нижний колонтитул Знак"/>
    <w:basedOn w:val="a0"/>
    <w:link w:val="aa"/>
    <w:uiPriority w:val="99"/>
    <w:rsid w:val="001E7E9A"/>
    <w:rPr>
      <w:rFonts w:ascii="Times New Roman" w:eastAsia="Times New Roman" w:hAnsi="Times New Roman" w:cs="Times New Roman"/>
      <w:sz w:val="24"/>
      <w:szCs w:val="24"/>
      <w:lang w:eastAsia="ru-RU"/>
    </w:rPr>
  </w:style>
  <w:style w:type="paragraph" w:customStyle="1" w:styleId="Style4">
    <w:name w:val="Style4"/>
    <w:basedOn w:val="a"/>
    <w:uiPriority w:val="99"/>
    <w:rsid w:val="00EE4534"/>
    <w:pPr>
      <w:widowControl w:val="0"/>
      <w:autoSpaceDE w:val="0"/>
      <w:autoSpaceDN w:val="0"/>
      <w:adjustRightInd w:val="0"/>
      <w:spacing w:line="277" w:lineRule="exact"/>
    </w:pPr>
    <w:rPr>
      <w:rFonts w:ascii="Bookman Old Style" w:hAnsi="Bookman Old Style"/>
    </w:rPr>
  </w:style>
  <w:style w:type="character" w:customStyle="1" w:styleId="FontStyle23">
    <w:name w:val="Font Style23"/>
    <w:uiPriority w:val="99"/>
    <w:rsid w:val="00EE453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490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ges/getpage.aspx?lact_id=203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pages/getpage.aspx?lact_id=2038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DF71-9471-4403-86DB-11D871B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Umid</dc:creator>
  <cp:lastModifiedBy>Zver</cp:lastModifiedBy>
  <cp:revision>193</cp:revision>
  <dcterms:created xsi:type="dcterms:W3CDTF">2018-07-11T05:40:00Z</dcterms:created>
  <dcterms:modified xsi:type="dcterms:W3CDTF">2020-03-20T11:19:00Z</dcterms:modified>
</cp:coreProperties>
</file>